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rPr>
      </w:pPr>
    </w:p>
    <w:p>
      <w:pPr>
        <w:jc w:val="left"/>
        <w:rPr>
          <w:rFonts w:ascii="仿宋_GB2312"/>
        </w:rPr>
      </w:pPr>
    </w:p>
    <w:p>
      <w:pPr>
        <w:jc w:val="left"/>
        <w:rPr>
          <w:rFonts w:ascii="仿宋_GB2312"/>
        </w:rPr>
      </w:pPr>
    </w:p>
    <w:p>
      <w:pPr>
        <w:snapToGrid w:val="0"/>
        <w:jc w:val="left"/>
        <w:rPr>
          <w:rFonts w:ascii="仿宋_GB2312"/>
          <w:sz w:val="18"/>
          <w:szCs w:val="18"/>
        </w:rPr>
      </w:pPr>
    </w:p>
    <w:p>
      <w:pPr>
        <w:jc w:val="left"/>
        <w:rPr>
          <w:rFonts w:ascii="仿宋_GB2312"/>
        </w:rPr>
      </w:pPr>
    </w:p>
    <w:p>
      <w:pPr>
        <w:jc w:val="left"/>
        <w:rPr>
          <w:rFonts w:ascii="仿宋_GB2312"/>
        </w:rPr>
      </w:pPr>
    </w:p>
    <w:p>
      <w:pPr>
        <w:jc w:val="center"/>
        <w:rPr>
          <w:rFonts w:ascii="仿宋_GB2312"/>
        </w:rPr>
      </w:pPr>
      <w:r>
        <w:rPr>
          <w:rFonts w:ascii="仿宋_GB2312"/>
        </w:rPr>
        <mc:AlternateContent>
          <mc:Choice Requires="wpg">
            <w:drawing>
              <wp:anchor distT="0" distB="0" distL="114300" distR="114300" simplePos="0" relativeHeight="251658240" behindDoc="1" locked="0" layoutInCell="1" allowOverlap="1">
                <wp:simplePos x="0" y="0"/>
                <wp:positionH relativeFrom="column">
                  <wp:posOffset>-41910</wp:posOffset>
                </wp:positionH>
                <wp:positionV relativeFrom="paragraph">
                  <wp:posOffset>-1391920</wp:posOffset>
                </wp:positionV>
                <wp:extent cx="5544820" cy="1942465"/>
                <wp:effectExtent l="5715" t="8255" r="12065" b="11430"/>
                <wp:wrapNone/>
                <wp:docPr id="3" name="Group 6"/>
                <wp:cNvGraphicFramePr/>
                <a:graphic xmlns:a="http://schemas.openxmlformats.org/drawingml/2006/main">
                  <a:graphicData uri="http://schemas.microsoft.com/office/word/2010/wordprocessingGroup">
                    <wpg:wgp>
                      <wpg:cNvGrpSpPr/>
                      <wpg:grpSpPr>
                        <a:xfrm>
                          <a:off x="0" y="0"/>
                          <a:ext cx="5544820" cy="1942465"/>
                          <a:chOff x="1578" y="2847"/>
                          <a:chExt cx="8732" cy="3059"/>
                        </a:xfrm>
                      </wpg:grpSpPr>
                      <wps:wsp>
                        <wps:cNvPr id="4" name="Rectangle 7"/>
                        <wps:cNvSpPr>
                          <a:spLocks noChangeArrowheads="1"/>
                        </wps:cNvSpPr>
                        <wps:spPr bwMode="auto">
                          <a:xfrm>
                            <a:off x="1588" y="2847"/>
                            <a:ext cx="8652" cy="2764"/>
                          </a:xfrm>
                          <a:prstGeom prst="rect">
                            <a:avLst/>
                          </a:prstGeom>
                          <a:solidFill>
                            <a:srgbClr val="FFFFFF"/>
                          </a:solidFill>
                          <a:ln w="9525">
                            <a:solidFill>
                              <a:srgbClr val="FFFFFF"/>
                            </a:solidFill>
                            <a:miter lim="800000"/>
                          </a:ln>
                        </wps:spPr>
                        <wps:txbx>
                          <w:txbxContent>
                            <w:p>
                              <w:pPr>
                                <w:jc w:val="center"/>
                                <w:rPr>
                                  <w:rFonts w:eastAsia="方正小标宋简体"/>
                                  <w:color w:val="FF0000"/>
                                  <w:w w:val="80"/>
                                </w:rPr>
                              </w:pPr>
                              <w:r>
                                <w:rPr>
                                  <w:rFonts w:hint="eastAsia" w:eastAsia="方正小标宋简体"/>
                                  <w:color w:val="FF0000"/>
                                  <w:spacing w:val="180"/>
                                  <w:w w:val="80"/>
                                  <w:sz w:val="100"/>
                                </w:rPr>
                                <w:t>河南省教育</w:t>
                              </w:r>
                              <w:r>
                                <w:rPr>
                                  <w:rFonts w:hint="eastAsia" w:eastAsia="方正小标宋简体"/>
                                  <w:color w:val="FF0000"/>
                                  <w:w w:val="80"/>
                                  <w:sz w:val="100"/>
                                </w:rPr>
                                <w:t>厅</w:t>
                              </w:r>
                            </w:p>
                          </w:txbxContent>
                        </wps:txbx>
                        <wps:bodyPr rot="0" vert="horz" wrap="square" lIns="91440" tIns="45720" rIns="91440" bIns="45720" anchor="t" anchorCtr="0" upright="1">
                          <a:noAutofit/>
                        </wps:bodyPr>
                      </wps:wsp>
                      <wps:wsp>
                        <wps:cNvPr id="5" name="Line 8"/>
                        <wps:cNvCnPr/>
                        <wps:spPr bwMode="auto">
                          <a:xfrm flipV="1">
                            <a:off x="1578" y="5905"/>
                            <a:ext cx="8732" cy="1"/>
                          </a:xfrm>
                          <a:prstGeom prst="line">
                            <a:avLst/>
                          </a:prstGeom>
                          <a:noFill/>
                          <a:ln w="9525">
                            <a:solidFill>
                              <a:srgbClr val="FF0000"/>
                            </a:solidFill>
                            <a:round/>
                          </a:ln>
                        </wps:spPr>
                        <wps:bodyPr/>
                      </wps:wsp>
                    </wpg:wgp>
                  </a:graphicData>
                </a:graphic>
              </wp:anchor>
            </w:drawing>
          </mc:Choice>
          <mc:Fallback>
            <w:pict>
              <v:group id="Group 6" o:spid="_x0000_s1026" o:spt="203" style="position:absolute;left:0pt;margin-left:-3.3pt;margin-top:-109.6pt;height:152.95pt;width:436.6pt;z-index:-251658240;mso-width-relative:page;mso-height-relative:page;" coordorigin="1578,2847" coordsize="8732,3059" o:gfxdata="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B4Yc/h2QAAAAoBAAAPAAAAAAAAAAEAIAAAACIAAABkcnMvZG93bnJldi54bWxQSwEC&#10;FAAUAAAACACHTuJAuhjTrtcCAAD8BgAADgAAAAAAAAABACAAAAAoAQAAZHJzL2Uyb0RvYy54bWxQ&#10;SwUGAAAAAAYABgBZAQAAcQYAAAAA&#10;">
                <o:lock v:ext="edit" aspectratio="f"/>
                <v:rect id="Rectangle 7" o:spid="_x0000_s1026" o:spt="1" style="position:absolute;left:1588;top:2847;height:2764;width:8652;" fillcolor="#FFFFFF" filled="t" stroked="t" coordsize="21600,21600" o:gfxdata="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8+eKW8AAAA&#10;2gAAAA8AAAAAAAAAAQAgAAAAIgAAAGRycy9kb3ducmV2LnhtbFBLAQIUABQAAAAIAIdO4kAzLwWe&#10;OwAAADkAAAAQAAAAAAAAAAEAIAAAAAsBAABkcnMvc2hhcGV4bWwueG1sUEsFBgAAAAAGAAYAWwEA&#10;ALUDAAAAAA==&#10;">
                  <v:fill on="t" focussize="0,0"/>
                  <v:stroke color="#FFFFFF" miterlimit="8" joinstyle="miter"/>
                  <v:imagedata o:title=""/>
                  <o:lock v:ext="edit" aspectratio="f"/>
                  <v:textbox>
                    <w:txbxContent>
                      <w:p>
                        <w:pPr>
                          <w:jc w:val="center"/>
                          <w:rPr>
                            <w:rFonts w:eastAsia="方正小标宋简体"/>
                            <w:color w:val="FF0000"/>
                            <w:w w:val="80"/>
                          </w:rPr>
                        </w:pPr>
                        <w:r>
                          <w:rPr>
                            <w:rFonts w:hint="eastAsia" w:eastAsia="方正小标宋简体"/>
                            <w:color w:val="FF0000"/>
                            <w:spacing w:val="180"/>
                            <w:w w:val="80"/>
                            <w:sz w:val="100"/>
                          </w:rPr>
                          <w:t>河南省教育</w:t>
                        </w:r>
                        <w:r>
                          <w:rPr>
                            <w:rFonts w:hint="eastAsia" w:eastAsia="方正小标宋简体"/>
                            <w:color w:val="FF0000"/>
                            <w:w w:val="80"/>
                            <w:sz w:val="100"/>
                          </w:rPr>
                          <w:t>厅</w:t>
                        </w:r>
                      </w:p>
                    </w:txbxContent>
                  </v:textbox>
                </v:rect>
                <v:line id="Line 8" o:spid="_x0000_s1026" o:spt="20" style="position:absolute;left:1578;top:5905;flip:y;height:1;width:8732;" filled="f" stroked="t" coordsize="21600,21600" o:gfxdata="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zQCOS8AAAA&#10;2gAAAA8AAAAAAAAAAQAgAAAAIgAAAGRycy9kb3ducmV2LnhtbFBLAQIUABQAAAAIAIdO4kAzLwWe&#10;OwAAADkAAAAQAAAAAAAAAAEAIAAAAAsBAABkcnMvc2hhcGV4bWwueG1sUEsFBgAAAAAGAAYAWwEA&#10;ALUDAAAAAA==&#10;">
                  <v:fill on="f" focussize="0,0"/>
                  <v:stroke color="#FF0000" joinstyle="round"/>
                  <v:imagedata o:title=""/>
                  <o:lock v:ext="edit" aspectratio="f"/>
                </v:line>
              </v:group>
            </w:pict>
          </mc:Fallback>
        </mc:AlternateContent>
      </w:r>
      <w:r>
        <w:rPr>
          <w:rFonts w:hint="eastAsia" w:ascii="仿宋_GB2312"/>
        </w:rPr>
        <w:t>教高〔2018〕467号</w:t>
      </w:r>
    </w:p>
    <w:p>
      <w:pPr>
        <w:jc w:val="center"/>
        <w:rPr>
          <w:rFonts w:ascii="仿宋_GB2312"/>
        </w:rPr>
      </w:pPr>
    </w:p>
    <w:p>
      <w:pPr>
        <w:jc w:val="center"/>
        <w:rPr>
          <w:rFonts w:ascii="仿宋_GB2312"/>
        </w:rPr>
      </w:pPr>
    </w:p>
    <w:p>
      <w:pPr>
        <w:widowControl/>
        <w:snapToGrid w:val="0"/>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河 南 省 教 育 厅</w:t>
      </w:r>
    </w:p>
    <w:p>
      <w:pPr>
        <w:widowControl/>
        <w:snapToGrid w:val="0"/>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关于2018年度高校教学实验室安全</w:t>
      </w:r>
    </w:p>
    <w:p>
      <w:pPr>
        <w:widowControl/>
        <w:snapToGrid w:val="0"/>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检查工作的通知</w:t>
      </w:r>
    </w:p>
    <w:p>
      <w:pPr>
        <w:jc w:val="left"/>
        <w:rPr>
          <w:rFonts w:ascii="仿宋_GB2312"/>
        </w:rPr>
      </w:pPr>
    </w:p>
    <w:p>
      <w:pPr>
        <w:jc w:val="left"/>
        <w:rPr>
          <w:rFonts w:ascii="仿宋_GB2312"/>
        </w:rPr>
      </w:pPr>
      <w:r>
        <w:rPr>
          <w:rFonts w:hint="eastAsia" w:ascii="仿宋_GB2312"/>
        </w:rPr>
        <w:t xml:space="preserve">各普通高等学校： </w:t>
      </w:r>
    </w:p>
    <w:p>
      <w:pPr>
        <w:ind w:firstLine="620"/>
        <w:jc w:val="left"/>
        <w:rPr>
          <w:rFonts w:ascii="仿宋_GB2312"/>
        </w:rPr>
      </w:pPr>
      <w:r>
        <w:rPr>
          <w:rFonts w:hint="eastAsia" w:ascii="仿宋_GB2312"/>
        </w:rPr>
        <w:t>根据教育部办公厅《关于加强高校教学实验室安全工作的通知》（教高厅〔2017〕2号）精神，为进一步加强高校教学实验室安全，健全安全管理体制机制，查找堵塞安全漏洞，营造良好的实验实践教学环境和秩序，我厅决定开展2018年度高校教学实验室安全检查工作。现就有关事宜通知如下：</w:t>
      </w:r>
    </w:p>
    <w:p>
      <w:pPr>
        <w:ind w:firstLine="618" w:firstLineChars="200"/>
        <w:rPr>
          <w:rFonts w:ascii="黑体" w:hAnsi="黑体" w:eastAsia="黑体"/>
        </w:rPr>
      </w:pPr>
      <w:r>
        <w:rPr>
          <w:rFonts w:hint="eastAsia" w:ascii="黑体" w:hAnsi="黑体" w:eastAsia="黑体"/>
        </w:rPr>
        <w:t>一、检查范围及内容</w:t>
      </w:r>
    </w:p>
    <w:p>
      <w:pPr>
        <w:ind w:firstLine="618" w:firstLineChars="200"/>
        <w:rPr>
          <w:rFonts w:ascii="仿宋_GB2312"/>
          <w:bCs/>
        </w:rPr>
      </w:pPr>
      <w:r>
        <w:rPr>
          <w:rFonts w:hint="eastAsia" w:ascii="仿宋_GB2312"/>
          <w:bCs/>
        </w:rPr>
        <w:t>（一）教学实验室安全责任体系建设与运行情况：是否将</w:t>
      </w:r>
      <w:r>
        <w:rPr>
          <w:rFonts w:hint="eastAsia" w:ascii="仿宋_GB2312" w:hAnsi="宋体" w:cs="宋体"/>
          <w:color w:val="000000"/>
          <w:kern w:val="0"/>
        </w:rPr>
        <w:t>教学实验室安全纳入学校安全整体工作之中；</w:t>
      </w:r>
      <w:r>
        <w:rPr>
          <w:rFonts w:hint="eastAsia" w:ascii="仿宋_GB2312"/>
          <w:bCs/>
        </w:rPr>
        <w:t>是否</w:t>
      </w:r>
      <w:r>
        <w:rPr>
          <w:rFonts w:hint="eastAsia" w:ascii="仿宋_GB2312" w:hAnsi="宋体" w:cs="宋体"/>
          <w:color w:val="000000"/>
          <w:kern w:val="0"/>
        </w:rPr>
        <w:t>根据“谁使用、谁负责，谁主管、谁负责”的原则，构建由学校、二级单位、教学实验室组成的三级联动的教学实验室安全管理责任体系，逐级落实责任制</w:t>
      </w:r>
      <w:r>
        <w:rPr>
          <w:rFonts w:hint="eastAsia" w:ascii="仿宋_GB2312"/>
          <w:bCs/>
        </w:rPr>
        <w:t>；是否</w:t>
      </w:r>
      <w:r>
        <w:rPr>
          <w:rFonts w:hint="eastAsia" w:ascii="仿宋_GB2312" w:hAnsi="宋体" w:cs="宋体"/>
          <w:color w:val="000000"/>
          <w:kern w:val="0"/>
        </w:rPr>
        <w:t>建设全校统一的教学实验室安全管理信息化系统，实现安全信息汇总、分析、发布、监督、追踪等综合有效管理；</w:t>
      </w:r>
      <w:r>
        <w:rPr>
          <w:rFonts w:hint="eastAsia" w:ascii="仿宋_GB2312"/>
          <w:bCs/>
        </w:rPr>
        <w:t>是否建立校级危险品安全管理的风险点清单并作为重点监管目标；是否建立安全运行长效工作机制；是否</w:t>
      </w:r>
      <w:r>
        <w:rPr>
          <w:rFonts w:hint="eastAsia" w:ascii="仿宋_GB2312" w:hAnsi="宋体" w:cs="宋体"/>
          <w:color w:val="000000"/>
          <w:kern w:val="0"/>
        </w:rPr>
        <w:t>按要求落实教学实验室安全工作年度报告；</w:t>
      </w:r>
      <w:r>
        <w:rPr>
          <w:rFonts w:hint="eastAsia" w:ascii="仿宋_GB2312"/>
          <w:bCs/>
        </w:rPr>
        <w:t>是否将教学实验室安全工作经费纳入学校年度经费预算。</w:t>
      </w:r>
    </w:p>
    <w:p>
      <w:pPr>
        <w:ind w:firstLine="618" w:firstLineChars="200"/>
        <w:rPr>
          <w:rFonts w:ascii="仿宋_GB2312"/>
          <w:bCs/>
        </w:rPr>
      </w:pPr>
      <w:r>
        <w:rPr>
          <w:rFonts w:hint="eastAsia" w:ascii="仿宋_GB2312"/>
          <w:bCs/>
        </w:rPr>
        <w:t>（二）教学实验室安全机制建设与运行情况：教学实验室是否有详细明确的安全规章、操作规范和安全管理记录等，是否严格按照管理制度规范运行。其中，危险品保管和使用情况，包括但不限于请购、领用、使用、回收、销毁的全过程记录和控制制度；危险品的存放和使用是否符合规范，在整个使用周期中处于受控状态；病原微生物菌（毒）种和放射性物质是否严格按照作业规范执行，包括但不限于：明显的警示标识，明确记录样本来源等，领、用、存、取登记交接记录，个人防护设施，专人运输与物品封存，严格履行主管单位审批手续等环节。</w:t>
      </w:r>
    </w:p>
    <w:p>
      <w:pPr>
        <w:ind w:firstLine="618" w:firstLineChars="200"/>
        <w:rPr>
          <w:rFonts w:ascii="仿宋_GB2312"/>
          <w:bCs/>
        </w:rPr>
      </w:pPr>
      <w:r>
        <w:rPr>
          <w:rFonts w:hint="eastAsia" w:ascii="仿宋_GB2312"/>
          <w:bCs/>
        </w:rPr>
        <w:t>（三）教学实验室安全教育、操作规范培训情况：是否对相关人员开展岗位职责、安全操作规程、安全技能、危险因素、安全意识等的定期培训；</w:t>
      </w:r>
      <w:r>
        <w:rPr>
          <w:rFonts w:hint="eastAsia" w:ascii="仿宋_GB2312" w:hAnsi="宋体" w:cs="宋体"/>
          <w:color w:val="000000"/>
          <w:kern w:val="0"/>
        </w:rPr>
        <w:t>是否建立严格的安全准入制度，对进入教学实验室的师生全员进行安全技能和操作规范培训；是否开展形式多样的安全常识宣传教育</w:t>
      </w:r>
      <w:r>
        <w:rPr>
          <w:rFonts w:hint="eastAsia" w:ascii="仿宋_GB2312"/>
          <w:bCs/>
        </w:rPr>
        <w:t>。</w:t>
      </w:r>
    </w:p>
    <w:p>
      <w:pPr>
        <w:ind w:firstLine="618" w:firstLineChars="200"/>
        <w:rPr>
          <w:rFonts w:ascii="仿宋_GB2312"/>
          <w:bCs/>
        </w:rPr>
      </w:pPr>
      <w:r>
        <w:rPr>
          <w:rFonts w:hint="eastAsia" w:ascii="仿宋_GB2312"/>
          <w:bCs/>
        </w:rPr>
        <w:t>（四）废弃危险品和实验室处理情况：教学实验废弃物是否分类暂存，并通过社会有资质的单位进行安全处置。对于搬迁或废弃的教学实验室，是否彻底清查废弃实验室存在的危险物品，并严格按照国家相关要求及时处理，消除各种安全隐患。在确认实验室不存在危险品之后，是否按照相关实验室废弃程序，选择具有资质的施工单位对废弃实验室进行拆迁施工。</w:t>
      </w:r>
    </w:p>
    <w:p>
      <w:pPr>
        <w:ind w:firstLine="618" w:firstLineChars="200"/>
        <w:rPr>
          <w:rFonts w:ascii="仿宋_GB2312" w:hAnsi="宋体" w:cs="宋体"/>
          <w:color w:val="000000"/>
          <w:kern w:val="0"/>
        </w:rPr>
      </w:pPr>
      <w:r>
        <w:rPr>
          <w:rFonts w:hint="eastAsia" w:ascii="仿宋_GB2312"/>
          <w:bCs/>
        </w:rPr>
        <w:t>（五）教学实验室安全应急能力建立情况：学校是否</w:t>
      </w:r>
      <w:r>
        <w:rPr>
          <w:rFonts w:hint="eastAsia" w:ascii="仿宋_GB2312" w:hAnsi="宋体" w:cs="宋体"/>
          <w:color w:val="000000"/>
          <w:kern w:val="0"/>
        </w:rPr>
        <w:t>统筹制定教学实验室安全应急预案，并根据实验项目变化加强动态修订，</w:t>
      </w:r>
      <w:r>
        <w:rPr>
          <w:rFonts w:hint="eastAsia" w:ascii="仿宋_GB2312"/>
          <w:bCs/>
        </w:rPr>
        <w:t>应急预案是否科学合理、可操作性强；</w:t>
      </w:r>
      <w:r>
        <w:rPr>
          <w:rFonts w:hint="eastAsia" w:ascii="仿宋_GB2312" w:hAnsi="宋体" w:cs="宋体"/>
          <w:color w:val="000000"/>
          <w:kern w:val="0"/>
        </w:rPr>
        <w:t>是否建立健全应急演练制度并定期开展应急演练，实验室专职管理人员至少每学年进行一次相关安全知识和应急能力培训；是否配备教学实验室安全急救设施和个人防护器材。</w:t>
      </w:r>
    </w:p>
    <w:p>
      <w:pPr>
        <w:ind w:firstLine="618" w:firstLineChars="200"/>
        <w:rPr>
          <w:rFonts w:ascii="仿宋_GB2312"/>
          <w:bCs/>
        </w:rPr>
      </w:pPr>
      <w:r>
        <w:rPr>
          <w:rFonts w:hint="eastAsia" w:ascii="仿宋_GB2312"/>
        </w:rPr>
        <w:t>涉及病原微生物菌（毒）种、危险化学品、易燃易爆品、放射性物品等危险品管理和使用的</w:t>
      </w:r>
      <w:r>
        <w:rPr>
          <w:rFonts w:hint="eastAsia" w:ascii="仿宋_GB2312" w:hAnsi="宋体" w:cs="宋体"/>
          <w:color w:val="000000"/>
          <w:kern w:val="0"/>
        </w:rPr>
        <w:t>高校教学实验室</w:t>
      </w:r>
      <w:r>
        <w:rPr>
          <w:rFonts w:hint="eastAsia" w:ascii="仿宋_GB2312"/>
        </w:rPr>
        <w:t>，是本次检查的重点。</w:t>
      </w:r>
    </w:p>
    <w:p>
      <w:pPr>
        <w:ind w:firstLine="618" w:firstLineChars="200"/>
        <w:rPr>
          <w:rFonts w:ascii="黑体" w:hAnsi="黑体" w:eastAsia="黑体"/>
        </w:rPr>
      </w:pPr>
      <w:r>
        <w:rPr>
          <w:rFonts w:hint="eastAsia" w:ascii="黑体" w:hAnsi="黑体" w:eastAsia="黑体"/>
        </w:rPr>
        <w:t>二、检查办法</w:t>
      </w:r>
    </w:p>
    <w:p>
      <w:pPr>
        <w:ind w:firstLine="618" w:firstLineChars="200"/>
        <w:rPr>
          <w:rFonts w:ascii="仿宋_GB2312"/>
          <w:bCs/>
        </w:rPr>
      </w:pPr>
      <w:r>
        <w:rPr>
          <w:rFonts w:hint="eastAsia" w:ascii="仿宋_GB2312"/>
          <w:bCs/>
        </w:rPr>
        <w:t>（一）学校自查、整改。各高校自本通知印发之日起至9月14日，</w:t>
      </w:r>
      <w:r>
        <w:rPr>
          <w:rFonts w:hint="eastAsia" w:ascii="仿宋_GB2312"/>
        </w:rPr>
        <w:t>制定自查方案，全面安全自查，对</w:t>
      </w:r>
      <w:r>
        <w:rPr>
          <w:rFonts w:hint="eastAsia" w:ascii="仿宋_GB2312"/>
          <w:bCs/>
        </w:rPr>
        <w:t>发现的问题和薄弱环节要制定切实可行的整改方案和整改计划，及时完成整改。</w:t>
      </w:r>
      <w:r>
        <w:rPr>
          <w:rFonts w:hint="eastAsia" w:ascii="仿宋_GB2312"/>
          <w:bCs/>
          <w:color w:val="FF0000"/>
        </w:rPr>
        <w:t>请各高校于9月14日前将</w:t>
      </w:r>
      <w:r>
        <w:rPr>
          <w:rFonts w:hint="eastAsia" w:ascii="仿宋_GB2312"/>
          <w:bCs/>
          <w:color w:val="FF0000"/>
        </w:rPr>
        <w:t>自查整改总结材料和教学实验室安全专项检查项目表(见附表)报送我厅，</w:t>
      </w:r>
      <w:r>
        <w:rPr>
          <w:rFonts w:hint="eastAsia" w:ascii="仿宋_GB2312"/>
          <w:bCs/>
        </w:rPr>
        <w:t>同时发送电子稿。材料报送地址：郑州市高新区莲花街100号河南工业大学</w:t>
      </w:r>
      <w:bookmarkStart w:id="1" w:name="_GoBack"/>
      <w:bookmarkEnd w:id="1"/>
      <w:r>
        <w:rPr>
          <w:rFonts w:hint="eastAsia" w:ascii="仿宋_GB2312"/>
          <w:bCs/>
        </w:rPr>
        <w:t>实验室管理处，</w:t>
      </w:r>
      <w:r>
        <w:fldChar w:fldCharType="begin"/>
      </w:r>
      <w:r>
        <w:instrText xml:space="preserve"> HYPERLINK "mailto:电子邮箱：hgdzwq@126.com" </w:instrText>
      </w:r>
      <w:r>
        <w:fldChar w:fldCharType="separate"/>
      </w:r>
      <w:r>
        <w:rPr>
          <w:rFonts w:hint="eastAsia" w:ascii="仿宋_GB2312"/>
          <w:bCs/>
        </w:rPr>
        <w:t>电子邮箱：hgdzwq@126.com</w:t>
      </w:r>
      <w:r>
        <w:rPr>
          <w:rFonts w:hint="eastAsia" w:ascii="仿宋_GB2312"/>
          <w:bCs/>
        </w:rPr>
        <w:fldChar w:fldCharType="end"/>
      </w:r>
      <w:r>
        <w:rPr>
          <w:rFonts w:hint="eastAsia" w:ascii="仿宋_GB2312"/>
          <w:bCs/>
        </w:rPr>
        <w:t>,联系人：张万青，联系电话：0371-67756883。</w:t>
      </w:r>
    </w:p>
    <w:p>
      <w:pPr>
        <w:ind w:firstLine="618" w:firstLineChars="200"/>
        <w:rPr>
          <w:rFonts w:ascii="仿宋_GB2312"/>
          <w:bCs/>
        </w:rPr>
      </w:pPr>
      <w:r>
        <w:rPr>
          <w:rFonts w:hint="eastAsia" w:ascii="仿宋_GB2312"/>
          <w:bCs/>
        </w:rPr>
        <w:t>（二）教育厅督查。在学校自查的基础上，我厅将委托河南省高校实验室工作研究会组织专家随机抽取部分高校，采取查阅资料、重点检查、随机抽查等方式对高校教学实验室进行督查，并对抽查结果不合格的教学实验室及高校进行通报。</w:t>
      </w:r>
    </w:p>
    <w:p>
      <w:pPr>
        <w:ind w:firstLine="618" w:firstLineChars="200"/>
        <w:rPr>
          <w:rFonts w:ascii="黑体" w:hAnsi="黑体" w:eastAsia="黑体"/>
          <w:bCs/>
        </w:rPr>
      </w:pPr>
      <w:r>
        <w:rPr>
          <w:rFonts w:hint="eastAsia" w:ascii="黑体" w:hAnsi="黑体" w:eastAsia="黑体"/>
          <w:bCs/>
        </w:rPr>
        <w:t>三、其他要求</w:t>
      </w:r>
    </w:p>
    <w:p>
      <w:pPr>
        <w:ind w:firstLine="618" w:firstLineChars="200"/>
        <w:rPr>
          <w:rFonts w:ascii="仿宋_GB2312"/>
          <w:bCs/>
        </w:rPr>
      </w:pPr>
      <w:r>
        <w:rPr>
          <w:rFonts w:hint="eastAsia" w:ascii="仿宋_GB2312"/>
          <w:bCs/>
        </w:rPr>
        <w:t>（一）高度重视。高校教学实验室安全直接关系广大师生的身体健康和生命安全，对高校顺利开展实验教学和人才培养至关重要。各高校要切实提高认识,牢固树立安全发展理念,坚决克服侥幸心理、厌战情绪、麻痹松懈思想,切实增强教学实验室安全工作的责任感和紧迫感,确保全省高校教学实验室安全。</w:t>
      </w:r>
    </w:p>
    <w:p>
      <w:pPr>
        <w:ind w:firstLine="618" w:firstLineChars="200"/>
        <w:rPr>
          <w:rFonts w:ascii="仿宋_GB2312"/>
          <w:bCs/>
        </w:rPr>
      </w:pPr>
      <w:r>
        <w:rPr>
          <w:rFonts w:hint="eastAsia" w:ascii="仿宋_GB2312"/>
          <w:bCs/>
        </w:rPr>
        <w:t>（二）明确责任。</w:t>
      </w:r>
      <w:r>
        <w:rPr>
          <w:rFonts w:hint="eastAsia" w:ascii="仿宋_GB2312" w:hAnsi="宋体" w:cs="宋体"/>
          <w:color w:val="000000"/>
          <w:kern w:val="0"/>
        </w:rPr>
        <w:t>高校党政主要负责人是学校安全工作第一责任人，分管校领导是教学实验室安全工作的重要领导责任人，其他校领导在分管工作范围内对教学实验室安全工作负有监督、检查、指导和管理职责；学校二级单位党政负责人是本单位教学实验室安全工作主要领导责任人；学校教学实验室安全管理机构和专职管理人员负责学校教学实验室的日常安全管理；学校教学实验室负责人是本实验室安全工作的直接责任人。</w:t>
      </w:r>
      <w:r>
        <w:rPr>
          <w:rFonts w:hint="eastAsia" w:ascii="仿宋_GB2312"/>
          <w:bCs/>
        </w:rPr>
        <w:t>对不履行教学实验室安全管理和安全教育职责导致严重后果、酿成重大事端的</w:t>
      </w:r>
      <w:r>
        <w:rPr>
          <w:rFonts w:ascii="仿宋_GB2312"/>
          <w:bCs/>
        </w:rPr>
        <w:t>,</w:t>
      </w:r>
      <w:r>
        <w:rPr>
          <w:rFonts w:hint="eastAsia" w:ascii="仿宋_GB2312"/>
          <w:bCs/>
        </w:rPr>
        <w:t>要依规依纪严肃查处和追究责任。</w:t>
      </w:r>
    </w:p>
    <w:p>
      <w:pPr>
        <w:ind w:firstLine="618" w:firstLineChars="200"/>
        <w:rPr>
          <w:rFonts w:ascii="仿宋_GB2312"/>
          <w:bCs/>
        </w:rPr>
      </w:pPr>
      <w:r>
        <w:rPr>
          <w:rFonts w:hint="eastAsia" w:ascii="仿宋_GB2312"/>
          <w:bCs/>
        </w:rPr>
        <w:t>（三）加强建设。对排查出的安全隐患，各高校要分级分类、建档立案，加强制度建设和资金投入，逐项明确隐患整改要求与负责人员，实行挂牌、整改、销号闭环管理，防止安全风险隐患失控引发事故。同时</w:t>
      </w:r>
      <w:r>
        <w:rPr>
          <w:rFonts w:hint="eastAsia" w:ascii="仿宋_GB2312"/>
        </w:rPr>
        <w:t>加强</w:t>
      </w:r>
      <w:r>
        <w:rPr>
          <w:rFonts w:hint="eastAsia" w:ascii="仿宋_GB2312"/>
          <w:bCs/>
        </w:rPr>
        <w:t>高校教学实验室安全监管信息化建设和危险品信息数据库建设，积极探索建立教学实验室安全管理系统。</w:t>
      </w:r>
    </w:p>
    <w:p>
      <w:pPr>
        <w:ind w:firstLine="618" w:firstLineChars="200"/>
        <w:rPr>
          <w:rFonts w:ascii="仿宋_GB2312"/>
          <w:bCs/>
        </w:rPr>
      </w:pPr>
      <w:r>
        <w:rPr>
          <w:rFonts w:hint="eastAsia" w:ascii="仿宋_GB2312"/>
          <w:bCs/>
        </w:rPr>
        <w:t>（四）遵守纪律。各高校要为检查组开展工作提供便利条件，接待检查组要严格遵守有关规定。检查组专家要认真履职尽责，廉洁自律，不接受学校的礼品、礼金、土特产等。各受检学校负责接检查组到达本校。</w:t>
      </w:r>
    </w:p>
    <w:p>
      <w:pPr>
        <w:ind w:firstLine="618" w:firstLineChars="200"/>
        <w:rPr>
          <w:rFonts w:ascii="黑体" w:hAnsi="黑体" w:eastAsia="黑体"/>
          <w:bCs/>
        </w:rPr>
      </w:pPr>
      <w:r>
        <w:rPr>
          <w:rFonts w:hint="eastAsia" w:ascii="黑体" w:hAnsi="黑体" w:eastAsia="黑体"/>
          <w:bCs/>
        </w:rPr>
        <w:t>四、联系方式</w:t>
      </w:r>
    </w:p>
    <w:p>
      <w:pPr>
        <w:ind w:firstLine="618" w:firstLineChars="200"/>
        <w:rPr>
          <w:rFonts w:ascii="仿宋_GB2312"/>
          <w:bCs/>
        </w:rPr>
      </w:pPr>
      <w:r>
        <w:rPr>
          <w:rFonts w:hint="eastAsia" w:ascii="仿宋_GB2312"/>
          <w:bCs/>
        </w:rPr>
        <w:t>教育厅高教处</w:t>
      </w:r>
    </w:p>
    <w:p>
      <w:pPr>
        <w:ind w:firstLine="618" w:firstLineChars="200"/>
        <w:rPr>
          <w:rFonts w:ascii="仿宋_GB2312"/>
          <w:bCs/>
        </w:rPr>
      </w:pPr>
      <w:r>
        <w:rPr>
          <w:rFonts w:hint="eastAsia" w:ascii="仿宋_GB2312"/>
          <w:bCs/>
        </w:rPr>
        <w:t>白威涛：0371-69691868</w:t>
      </w:r>
    </w:p>
    <w:p>
      <w:pPr>
        <w:ind w:firstLine="618" w:firstLineChars="200"/>
        <w:rPr>
          <w:rFonts w:ascii="仿宋_GB2312"/>
          <w:bCs/>
        </w:rPr>
      </w:pPr>
      <w:r>
        <w:rPr>
          <w:rFonts w:hint="eastAsia" w:ascii="仿宋_GB2312"/>
          <w:bCs/>
        </w:rPr>
        <w:t>河南省高校实验室工作研究会秘书处</w:t>
      </w:r>
    </w:p>
    <w:p>
      <w:pPr>
        <w:ind w:firstLine="618" w:firstLineChars="200"/>
        <w:rPr>
          <w:rFonts w:ascii="仿宋_GB2312"/>
          <w:bCs/>
        </w:rPr>
      </w:pPr>
      <w:r>
        <w:rPr>
          <w:rFonts w:hint="eastAsia" w:ascii="仿宋_GB2312"/>
          <w:bCs/>
        </w:rPr>
        <w:t>张万青：</w:t>
      </w:r>
      <w:r>
        <w:rPr>
          <w:rFonts w:ascii="仿宋_GB2312"/>
          <w:bCs/>
        </w:rPr>
        <w:t>电话：0371-67756883 (</w:t>
      </w:r>
      <w:r>
        <w:rPr>
          <w:rFonts w:hint="eastAsia" w:ascii="仿宋_GB2312"/>
          <w:bCs/>
        </w:rPr>
        <w:t>传真</w:t>
      </w:r>
      <w:r>
        <w:rPr>
          <w:rFonts w:ascii="仿宋_GB2312"/>
          <w:bCs/>
        </w:rPr>
        <w:t>)</w:t>
      </w:r>
      <w:r>
        <w:rPr>
          <w:rFonts w:hint="eastAsia" w:ascii="仿宋_GB2312"/>
          <w:bCs/>
        </w:rPr>
        <w:t>，</w:t>
      </w:r>
      <w:r>
        <w:rPr>
          <w:rFonts w:ascii="仿宋_GB2312"/>
          <w:bCs/>
        </w:rPr>
        <w:t>18623718819</w:t>
      </w:r>
      <w:r>
        <w:rPr>
          <w:rFonts w:hint="eastAsia" w:ascii="仿宋_GB2312"/>
          <w:bCs/>
        </w:rPr>
        <w:t>；</w:t>
      </w:r>
    </w:p>
    <w:p>
      <w:pPr>
        <w:ind w:firstLine="618" w:firstLineChars="200"/>
        <w:rPr>
          <w:rFonts w:ascii="仿宋_GB2312"/>
          <w:bCs/>
          <w:spacing w:val="-8"/>
        </w:rPr>
      </w:pPr>
      <w:r>
        <w:rPr>
          <w:rFonts w:hint="eastAsia" w:ascii="仿宋_GB2312"/>
          <w:bCs/>
        </w:rPr>
        <w:t>地址：</w:t>
      </w:r>
      <w:r>
        <w:rPr>
          <w:rFonts w:hint="eastAsia" w:ascii="仿宋_GB2312"/>
          <w:bCs/>
          <w:spacing w:val="-8"/>
        </w:rPr>
        <w:t>郑州市高新区莲花街100号河南工业大学实验室管理处。</w:t>
      </w:r>
    </w:p>
    <w:p>
      <w:pPr>
        <w:ind w:firstLine="618" w:firstLineChars="200"/>
        <w:rPr>
          <w:rFonts w:ascii="仿宋_GB2312"/>
          <w:bCs/>
        </w:rPr>
      </w:pPr>
    </w:p>
    <w:p>
      <w:pPr>
        <w:ind w:firstLine="618" w:firstLineChars="200"/>
        <w:rPr>
          <w:rFonts w:ascii="仿宋_GB2312"/>
          <w:bCs/>
        </w:rPr>
      </w:pPr>
      <w:r>
        <w:rPr>
          <w:rFonts w:hint="eastAsia" w:ascii="仿宋_GB2312"/>
          <w:bCs/>
        </w:rPr>
        <w:t>附件：高校教学实验室安全专项检查项目表</w:t>
      </w:r>
    </w:p>
    <w:p>
      <w:pPr>
        <w:ind w:firstLine="618" w:firstLineChars="200"/>
        <w:rPr>
          <w:rFonts w:ascii="仿宋_GB2312"/>
          <w:bCs/>
        </w:rPr>
      </w:pPr>
    </w:p>
    <w:p>
      <w:pPr>
        <w:ind w:firstLine="618" w:firstLineChars="200"/>
        <w:rPr>
          <w:rFonts w:ascii="仿宋_GB2312"/>
          <w:bCs/>
        </w:rPr>
      </w:pPr>
    </w:p>
    <w:p>
      <w:pPr>
        <w:wordWrap w:val="0"/>
        <w:ind w:firstLine="618" w:firstLineChars="200"/>
        <w:jc w:val="right"/>
        <w:rPr>
          <w:rFonts w:ascii="仿宋_GB2312"/>
          <w:bCs/>
        </w:rPr>
      </w:pPr>
      <w:r>
        <w:rPr>
          <w:rFonts w:hint="eastAsia" w:ascii="仿宋_GB2312"/>
          <w:bCs/>
        </w:rPr>
        <w:t xml:space="preserve">2018年6月12日    </w:t>
      </w:r>
    </w:p>
    <w:p/>
    <w:p>
      <w:pPr>
        <w:sectPr>
          <w:headerReference r:id="rId3" w:type="default"/>
          <w:footerReference r:id="rId4" w:type="default"/>
          <w:footerReference r:id="rId5" w:type="even"/>
          <w:pgSz w:w="11906" w:h="16838"/>
          <w:pgMar w:top="1871" w:right="1588" w:bottom="1928" w:left="1644" w:header="0" w:footer="1588" w:gutter="0"/>
          <w:cols w:space="425" w:num="1"/>
          <w:docGrid w:type="linesAndChars" w:linePitch="587" w:charSpace="2004"/>
        </w:sectPr>
      </w:pPr>
    </w:p>
    <w:p>
      <w:pPr>
        <w:rPr>
          <w:rFonts w:ascii="黑体" w:eastAsia="黑体"/>
        </w:rPr>
      </w:pPr>
      <w:r>
        <w:rPr>
          <w:rFonts w:hint="eastAsia" w:ascii="黑体" w:eastAsia="黑体"/>
        </w:rPr>
        <w:t>附  件</w:t>
      </w:r>
    </w:p>
    <w:p>
      <w:pPr>
        <w:jc w:val="center"/>
        <w:rPr>
          <w:rFonts w:ascii="方正小标宋简体" w:eastAsia="方正小标宋简体"/>
          <w:sz w:val="44"/>
          <w:szCs w:val="44"/>
        </w:rPr>
      </w:pPr>
      <w:r>
        <w:rPr>
          <w:rFonts w:hint="eastAsia" w:ascii="方正小标宋简体" w:eastAsia="方正小标宋简体"/>
          <w:sz w:val="44"/>
          <w:szCs w:val="44"/>
        </w:rPr>
        <w:t>高校教学实验室安全专项检查项目表</w:t>
      </w:r>
    </w:p>
    <w:tbl>
      <w:tblPr>
        <w:tblStyle w:val="14"/>
        <w:tblW w:w="9093" w:type="dxa"/>
        <w:jc w:val="center"/>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5551"/>
        <w:gridCol w:w="420"/>
        <w:gridCol w:w="448"/>
        <w:gridCol w:w="396"/>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vMerge w:val="restar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序号</w:t>
            </w:r>
          </w:p>
        </w:tc>
        <w:tc>
          <w:tcPr>
            <w:tcW w:w="5551" w:type="dxa"/>
            <w:vMerge w:val="restar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检查</w:t>
            </w:r>
            <w:r>
              <w:rPr>
                <w:rFonts w:hint="eastAsia" w:ascii="黑体" w:eastAsia="黑体"/>
                <w:bCs/>
                <w:color w:val="000000"/>
                <w:spacing w:val="-12"/>
                <w:kern w:val="0"/>
              </w:rPr>
              <w:t>工作</w:t>
            </w:r>
            <w:r>
              <w:rPr>
                <w:rFonts w:hint="eastAsia" w:ascii="黑体" w:hAnsi="宋体" w:eastAsia="黑体"/>
                <w:bCs/>
                <w:color w:val="000000"/>
                <w:spacing w:val="-12"/>
                <w:kern w:val="0"/>
              </w:rPr>
              <w:t>项目</w:t>
            </w:r>
          </w:p>
        </w:tc>
        <w:tc>
          <w:tcPr>
            <w:tcW w:w="2613" w:type="dxa"/>
            <w:gridSpan w:val="4"/>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vMerge w:val="continue"/>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spacing w:line="240" w:lineRule="exact"/>
              <w:jc w:val="center"/>
              <w:rPr>
                <w:rFonts w:ascii="黑体" w:eastAsia="黑体"/>
                <w:bCs/>
                <w:color w:val="000000"/>
                <w:spacing w:val="-12"/>
                <w:kern w:val="0"/>
              </w:rPr>
            </w:pPr>
          </w:p>
        </w:tc>
        <w:tc>
          <w:tcPr>
            <w:tcW w:w="5551" w:type="dxa"/>
            <w:vMerge w:val="continue"/>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spacing w:line="240" w:lineRule="exact"/>
              <w:jc w:val="center"/>
              <w:rPr>
                <w:rFonts w:ascii="黑体" w:eastAsia="黑体"/>
                <w:bCs/>
                <w:color w:val="000000"/>
                <w:spacing w:val="-12"/>
                <w:kern w:val="0"/>
              </w:rPr>
            </w:pP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spacing w:line="240" w:lineRule="exact"/>
              <w:jc w:val="center"/>
              <w:rPr>
                <w:rFonts w:ascii="黑体" w:hAnsi="宋体" w:eastAsia="黑体"/>
                <w:bCs/>
                <w:color w:val="000000"/>
                <w:spacing w:val="-12"/>
                <w:kern w:val="0"/>
              </w:rPr>
            </w:pPr>
            <w:r>
              <w:rPr>
                <w:rFonts w:hint="eastAsia" w:ascii="黑体" w:hAnsi="宋体" w:eastAsia="黑体"/>
                <w:bCs/>
                <w:color w:val="000000"/>
                <w:spacing w:val="-12"/>
                <w:kern w:val="0"/>
              </w:rPr>
              <w:t>符</w:t>
            </w:r>
          </w:p>
          <w:p>
            <w:pPr>
              <w:snapToGrid w:val="0"/>
              <w:spacing w:line="240" w:lineRule="exact"/>
              <w:jc w:val="center"/>
              <w:rPr>
                <w:rFonts w:ascii="黑体" w:eastAsia="黑体"/>
                <w:bCs/>
                <w:color w:val="000000"/>
                <w:spacing w:val="-12"/>
                <w:kern w:val="0"/>
              </w:rPr>
            </w:pPr>
          </w:p>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合</w:t>
            </w: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不</w:t>
            </w:r>
          </w:p>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符</w:t>
            </w:r>
          </w:p>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合</w:t>
            </w: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不</w:t>
            </w:r>
          </w:p>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适</w:t>
            </w:r>
          </w:p>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用</w:t>
            </w: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spacing w:line="240" w:lineRule="exact"/>
              <w:jc w:val="center"/>
              <w:rPr>
                <w:rFonts w:ascii="黑体" w:eastAsia="黑体"/>
                <w:bCs/>
                <w:color w:val="000000"/>
                <w:spacing w:val="-12"/>
                <w:kern w:val="0"/>
              </w:rPr>
            </w:pPr>
            <w:r>
              <w:rPr>
                <w:rFonts w:hint="eastAsia" w:ascii="黑体" w:hAnsi="宋体" w:eastAsia="黑体"/>
                <w:bCs/>
                <w:color w:val="000000"/>
                <w:spacing w:val="-12"/>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黑体" w:eastAsia="黑体"/>
                <w:color w:val="000000"/>
                <w:spacing w:val="-12"/>
                <w:kern w:val="0"/>
                <w:sz w:val="28"/>
                <w:szCs w:val="28"/>
              </w:rPr>
            </w:pPr>
            <w:r>
              <w:rPr>
                <w:rFonts w:hint="eastAsia" w:ascii="黑体" w:hAnsi="黑体" w:eastAsia="黑体"/>
                <w:color w:val="000000"/>
                <w:spacing w:val="-12"/>
                <w:kern w:val="0"/>
                <w:sz w:val="28"/>
                <w:szCs w:val="28"/>
              </w:rPr>
              <w:t>组织体系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楷体" w:hAnsi="楷体" w:eastAsia="楷体"/>
                <w:color w:val="000000"/>
                <w:spacing w:val="-12"/>
                <w:kern w:val="0"/>
                <w:sz w:val="28"/>
                <w:szCs w:val="28"/>
              </w:rPr>
            </w:pPr>
            <w:r>
              <w:rPr>
                <w:rFonts w:hint="eastAsia" w:ascii="仿宋_GB2312" w:hAnsi="仿宋_GB2312" w:cs="仿宋_GB2312"/>
                <w:color w:val="000000"/>
                <w:spacing w:val="-12"/>
                <w:kern w:val="0"/>
                <w:sz w:val="28"/>
                <w:szCs w:val="28"/>
              </w:rPr>
              <w:t>安全责任体系</w:t>
            </w:r>
          </w:p>
        </w:tc>
        <w:tc>
          <w:tcPr>
            <w:tcW w:w="2613" w:type="dxa"/>
            <w:gridSpan w:val="4"/>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宋体" w:cs="宋体"/>
                <w:color w:val="000000"/>
                <w:kern w:val="0"/>
                <w:sz w:val="28"/>
                <w:szCs w:val="28"/>
              </w:rPr>
              <w:t>构建由学校、二级单位、教学实验室组成的三级联动的教学实验室安全管理责任体系，建立由高校党政主要负责人第一责任人、分管高校教学实验室工作的校领导重要领导责任人、学校二级单位党政负责人本单位主要领导责任人、教学实验室负责人本实验室直接责任人的逐级分层落实责任制</w:t>
            </w:r>
            <w:r>
              <w:rPr>
                <w:rFonts w:ascii="仿宋_GB2312" w:hAnsi="仿宋_GB2312" w:cs="仿宋_GB2312"/>
                <w:color w:val="000000"/>
                <w:spacing w:val="-12"/>
                <w:kern w:val="0"/>
                <w:sz w:val="28"/>
                <w:szCs w:val="28"/>
              </w:rPr>
              <w:t xml:space="preserve">                  </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有专、兼职教学实验室安全员</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建立教学实验室的安全责任体系，所有实验用房都须明确安全责任人</w:t>
            </w:r>
            <w:r>
              <w:rPr>
                <w:rFonts w:ascii="仿宋_GB2312" w:hAnsi="仿宋_GB2312" w:cs="仿宋_GB2312"/>
                <w:color w:val="000000"/>
                <w:spacing w:val="-12"/>
                <w:kern w:val="0"/>
                <w:sz w:val="28"/>
                <w:szCs w:val="28"/>
              </w:rPr>
              <w:t xml:space="preserve"> </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各单位与所属实验室及个人签订《教学实验室安全管理责任书》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黑体" w:eastAsia="黑体"/>
                <w:color w:val="000000"/>
                <w:spacing w:val="-12"/>
                <w:kern w:val="0"/>
                <w:sz w:val="28"/>
                <w:szCs w:val="28"/>
              </w:rPr>
            </w:pPr>
            <w:r>
              <w:rPr>
                <w:rFonts w:hint="eastAsia" w:ascii="黑体" w:hAnsi="黑体" w:eastAsia="黑体" w:cs="黑体"/>
                <w:color w:val="000000"/>
                <w:spacing w:val="-12"/>
                <w:kern w:val="0"/>
                <w:sz w:val="28"/>
                <w:szCs w:val="28"/>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r>
              <w:rPr>
                <w:rFonts w:hint="eastAsia" w:ascii="仿宋_GB2312" w:hAnsi="仿宋_GB2312" w:cs="仿宋_GB2312"/>
                <w:color w:val="000000"/>
                <w:spacing w:val="-12"/>
                <w:kern w:val="0"/>
                <w:sz w:val="28"/>
                <w:szCs w:val="28"/>
              </w:rPr>
              <w:t>安全管理制度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bCs/>
                <w:color w:val="000000"/>
                <w:spacing w:val="-12"/>
                <w:kern w:val="0"/>
                <w:sz w:val="28"/>
                <w:szCs w:val="28"/>
              </w:rPr>
            </w:pPr>
            <w:r>
              <w:rPr>
                <w:rFonts w:hint="eastAsia" w:ascii="仿宋_GB2312"/>
                <w:bCs/>
                <w:color w:val="000000"/>
                <w:spacing w:val="-12"/>
                <w:kern w:val="0"/>
                <w:sz w:val="28"/>
                <w:szCs w:val="28"/>
              </w:rPr>
              <w:t>2.1.1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bCs/>
                <w:color w:val="000000"/>
                <w:spacing w:val="-12"/>
                <w:kern w:val="0"/>
                <w:sz w:val="28"/>
                <w:szCs w:val="28"/>
              </w:rPr>
            </w:pPr>
            <w:r>
              <w:rPr>
                <w:rFonts w:hint="eastAsia" w:ascii="仿宋_GB2312" w:hAnsi="仿宋_GB2312" w:cs="仿宋_GB2312"/>
                <w:bCs/>
                <w:color w:val="000000"/>
                <w:spacing w:val="-12"/>
                <w:kern w:val="0"/>
                <w:sz w:val="28"/>
                <w:szCs w:val="28"/>
              </w:rPr>
              <w:t>有符合学科实际的安全管理制度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bCs/>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bCs/>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bCs/>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bCs/>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有安全检查与值班值日制度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有实验操作规程（含安全注意事项，特别是对于危险性实验与操作）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有仪器操作规程（含安全注意事项）</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有可操作的应急预案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r>
              <w:rPr>
                <w:rFonts w:hint="eastAsia" w:ascii="仿宋_GB2312" w:hAnsi="仿宋_GB2312" w:cs="仿宋_GB2312"/>
                <w:color w:val="000000"/>
                <w:spacing w:val="-12"/>
                <w:kern w:val="0"/>
                <w:sz w:val="28"/>
                <w:szCs w:val="28"/>
              </w:rPr>
              <w:t>规章制度的执行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建立安全检查和值日台账且记录规范</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将有操作指导性的制度、规程上墙（特别是有危险性的操作）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对于检查发现存在问题的，以适当方式及时通知被查实验室，如进行网上公示、发送整改通知书等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2.2.4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检查出的问题得到及时整改且有记录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黑体" w:eastAsia="黑体"/>
                <w:color w:val="000000"/>
                <w:spacing w:val="-12"/>
                <w:kern w:val="0"/>
                <w:sz w:val="28"/>
                <w:szCs w:val="28"/>
              </w:rPr>
            </w:pPr>
            <w:r>
              <w:rPr>
                <w:rFonts w:hint="eastAsia" w:ascii="黑体" w:hAnsi="黑体" w:eastAsia="黑体"/>
                <w:color w:val="000000"/>
                <w:spacing w:val="-12"/>
                <w:kern w:val="0"/>
                <w:sz w:val="28"/>
                <w:szCs w:val="28"/>
              </w:rPr>
              <w:t>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r>
              <w:rPr>
                <w:rFonts w:hint="eastAsia" w:ascii="仿宋_GB2312" w:hAnsi="仿宋_GB2312" w:cs="仿宋_GB2312"/>
                <w:color w:val="000000"/>
                <w:spacing w:val="-12"/>
                <w:kern w:val="0"/>
                <w:sz w:val="28"/>
                <w:szCs w:val="28"/>
              </w:rPr>
              <w:t>教育培训计划</w:t>
            </w:r>
          </w:p>
        </w:tc>
        <w:tc>
          <w:tcPr>
            <w:tcW w:w="2613" w:type="dxa"/>
            <w:gridSpan w:val="4"/>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jc w:val="center"/>
              <w:rPr>
                <w:rFonts w:ascii="仿宋_GB2312"/>
                <w:color w:val="000000"/>
                <w:spacing w:val="-12"/>
                <w:kern w:val="0"/>
                <w:sz w:val="28"/>
                <w:szCs w:val="28"/>
              </w:rPr>
            </w:pPr>
            <w:r>
              <w:rPr>
                <w:rFonts w:hint="eastAsia" w:ascii="仿宋_GB2312"/>
                <w:color w:val="000000"/>
                <w:spacing w:val="-12"/>
                <w:kern w:val="0"/>
                <w:sz w:val="28"/>
                <w:szCs w:val="28"/>
              </w:rPr>
              <w:t>3.1.1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有年度安全教育培训计划</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有安全教育和培训的记录并存档</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楷体" w:hAnsi="楷体" w:eastAsia="楷体"/>
                <w:color w:val="000000"/>
                <w:spacing w:val="-12"/>
                <w:kern w:val="0"/>
                <w:sz w:val="28"/>
                <w:szCs w:val="28"/>
              </w:rPr>
            </w:pPr>
            <w:r>
              <w:rPr>
                <w:rFonts w:hint="eastAsia" w:ascii="仿宋_GB2312" w:hAnsi="仿宋_GB2312" w:cs="仿宋_GB2312"/>
                <w:color w:val="000000"/>
                <w:spacing w:val="-12"/>
                <w:kern w:val="0"/>
                <w:sz w:val="28"/>
                <w:szCs w:val="28"/>
              </w:rPr>
              <w:t>活动组织与实施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开展教职工安全教育与培训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开展学生安全教育与考核</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开展结合学科特点的应急演练</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在本单位网站设立专门板块进行教学实验室安全宣传报道</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设有安全教育宣传窗，张贴宣传画、标语、提示等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将《实验室安全手册》发放到每一位师生，收回承诺书并归档</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3.3.4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通过手机、网络等途径定期对师生加强教学实验室安全方面的温馨提醒</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4</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环境与管理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6"/>
                <w:kern w:val="0"/>
                <w:sz w:val="28"/>
                <w:szCs w:val="28"/>
              </w:rPr>
            </w:pPr>
            <w:r>
              <w:rPr>
                <w:rFonts w:hint="eastAsia" w:ascii="仿宋_GB2312" w:hAnsi="仿宋_GB2312" w:cs="仿宋_GB2312"/>
                <w:color w:val="000000"/>
                <w:spacing w:val="-16"/>
                <w:kern w:val="0"/>
                <w:sz w:val="28"/>
                <w:szCs w:val="28"/>
              </w:rPr>
              <w:t>教学实验室每个房间门口挂有安全信息牌并及时更新，信息包括安全责任人、涉及危险类别、防护措施和有效应急联系电话等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特殊教学实验室应张贴相应的安全警示标识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消防通道通畅</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门上有可视窗</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不安装额外的铁栅栏门（特殊情况除外）</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除一楼之外不安装防盗窗（特殊情况除外）</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公共场所、通道无堆放仪器、物品现象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4.1.8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所有房间有备用钥匙并存放于单位办公室或传达室内，由专人管理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卫生与环境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教学实验区与学习区明确分开，布局合理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物品摆放有序，卫生状况良好</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不存在门开着而无人的现象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无废弃物品（如纸板箱、废电脑、破仪器、破家具等）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教学实验室内不存放无关物品，如电动车、自行车等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20"/>
                <w:kern w:val="0"/>
                <w:sz w:val="28"/>
                <w:szCs w:val="28"/>
              </w:rPr>
            </w:pPr>
            <w:r>
              <w:rPr>
                <w:rFonts w:hint="eastAsia" w:ascii="仿宋_GB2312" w:hAnsi="仿宋_GB2312" w:cs="仿宋_GB2312"/>
                <w:color w:val="000000"/>
                <w:spacing w:val="-20"/>
                <w:kern w:val="0"/>
                <w:sz w:val="28"/>
                <w:szCs w:val="28"/>
              </w:rPr>
              <w:t>教学实验室内不得烧煮食物、饮食</w:t>
            </w:r>
            <w:r>
              <w:rPr>
                <w:rFonts w:ascii="仿宋_GB2312" w:hAnsi="仿宋_GB2312" w:cs="仿宋_GB2312"/>
                <w:color w:val="000000"/>
                <w:spacing w:val="-20"/>
                <w:kern w:val="0"/>
                <w:sz w:val="28"/>
                <w:szCs w:val="28"/>
              </w:rPr>
              <w:t>(</w:t>
            </w:r>
            <w:r>
              <w:rPr>
                <w:rFonts w:hint="eastAsia" w:ascii="仿宋_GB2312" w:hAnsi="仿宋_GB2312" w:cs="仿宋_GB2312"/>
                <w:color w:val="000000"/>
                <w:spacing w:val="-20"/>
                <w:kern w:val="0"/>
                <w:sz w:val="28"/>
                <w:szCs w:val="28"/>
              </w:rPr>
              <w:t>食品实验除外</w:t>
            </w:r>
            <w:r>
              <w:rPr>
                <w:rFonts w:ascii="仿宋_GB2312" w:hAnsi="仿宋_GB2312" w:cs="仿宋_GB2312"/>
                <w:color w:val="000000"/>
                <w:spacing w:val="-20"/>
                <w:kern w:val="0"/>
                <w:sz w:val="28"/>
                <w:szCs w:val="28"/>
              </w:rPr>
              <w:t>)</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不在教学实验室内睡觉、过夜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教学实验室内无吸烟现象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4.3.5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不得在化学、生物类教学实验室使用可燃性蚊香，其它实验室内如需使用可燃性蚊香，底盘须为金属制</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5</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应急设施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配置消防器材（烟感报警器、灭火器、消防栓、手动报警器、沙桶等）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实验大楼有逃生线路指示图，并安装应急指示灯</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灭火器配备数量合理，无过期现象，摆放位置方便及时取用</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重点部位有防盗和监控设施，包括剧毒品、病原微生物和放射源存放点等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化学和生物类教学实验室有应急喷淋装置和洗眼装置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应急喷淋装置水管总阀处常开状，喷头下方无障碍物</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有应急喷淋和洗眼装置的巡检记录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5.1.8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楼层或实验室配备了未上锁的急救药箱</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配备符合要求的通风系统；对于排放有毒有味废气的实验室，有吸收过滤装置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通风系统运行正常</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对通风设备进行风速测定等维护、检修并做好记录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换气扇使用正常</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5.2.5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风机固定无松动、无异常噪声</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6</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水电安全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用电基础安全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无插头插座不匹配或私自改装现象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无乱拉乱接电线现象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无电线老化、使用花线和木质配电板的现象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无多个大功率仪器使用同一个接线板的现象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无多个接线板串联及接线板直接放在地面的现象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无电源插座未固定、插座插头破损现象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大功率仪器（包括空调等）使用专用插座，长期不用时，应拔出电源插头</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无人状态下，充电器（宝）不能充电过夜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6.1.9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水槽边不安装电源插座，如确实需要，应装有防护挡板或防护罩</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用水安全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下水道畅通，不存在水龙头、水管破损现象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各类链接管无老化破损现象（特别是冷却冷凝系统的橡胶管接口处）</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6.2.3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无自来水龙头开着而人离开的现象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7</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化学试剂存放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房间内有化学品的动态台帐</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强酸与强碱、氧化剂与还原剂等分开存放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固体与液体分开存放（如在同一试剂柜中，液体需放置在下层）</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化学品不存在叠放现象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腐蚀溶剂配有托盘类的二次泄漏防护容器</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化学试剂标签无脱落、模糊现象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存放点通风、隔热、安全</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无存放大桶试剂现象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无大量存放化学试剂现象（用量较大的试剂存量应控制在一周计划用量之内）</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7.1.10</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无试剂药品过期现象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无试剂瓶、烧瓶等开口放置的现象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7.1.12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易泄漏、易挥发的试剂应存放在具有通风、吸附功能的试剂柜内</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剧毒品管理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剧毒品购买前须经院系和学校同意，报公安部门审批同意后进行采购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配备并固定专门的保险柜，实行双人双锁保管，即有</w:t>
            </w:r>
            <w:r>
              <w:rPr>
                <w:rFonts w:ascii="仿宋_GB2312" w:hAnsi="仿宋_GB2312" w:cs="仿宋_GB2312"/>
                <w:color w:val="000000"/>
                <w:spacing w:val="-12"/>
                <w:kern w:val="0"/>
                <w:sz w:val="28"/>
                <w:szCs w:val="28"/>
              </w:rPr>
              <w:t>2</w:t>
            </w:r>
            <w:r>
              <w:rPr>
                <w:rFonts w:hint="eastAsia" w:ascii="仿宋_GB2312" w:hAnsi="仿宋_GB2312" w:cs="仿宋_GB2312"/>
                <w:color w:val="000000"/>
                <w:spacing w:val="-12"/>
                <w:kern w:val="0"/>
                <w:sz w:val="28"/>
                <w:szCs w:val="28"/>
              </w:rPr>
              <w:t>名分别掌管钥匙和密码的保管人同时到场方可开启保险柜，有条件的或专用库房需配备</w:t>
            </w:r>
            <w:r>
              <w:rPr>
                <w:rFonts w:hint="eastAsia" w:ascii="仿宋_GB2312" w:hAnsi="仿宋_GB2312" w:cs="仿宋_GB2312"/>
                <w:spacing w:val="-12"/>
                <w:kern w:val="0"/>
                <w:sz w:val="28"/>
                <w:szCs w:val="28"/>
              </w:rPr>
              <w:t>报警及监控设备</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有高挥发性、低闪点的剧毒品应存放在具有防爆功能的冰箱内并配备双锁，实行双人双锁保管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执行双人收发、双人运输并有记录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使用时有两人同时在场且计量取用后立即放回保险柜并做好记录（双人签字）</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有规范的剧毒品处置方法并做好记录（双人签字）</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按有关规定对残余、废弃的剧毒品或空瓶进行处置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7.2.8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不得私自从外单位获取剧毒品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易制毒品等特殊药品管理</w:t>
            </w:r>
          </w:p>
        </w:tc>
        <w:tc>
          <w:tcPr>
            <w:tcW w:w="2613" w:type="dxa"/>
            <w:gridSpan w:val="4"/>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7"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第一类易制毒品购买前须经院系和学校批准，报公安部门审批同意后进行采购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第二、三类易制毒品购买前须经院系批准，报公安部门审批同意后进行采购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易制毒品分类存放、专人保管，做好领取、使用、处置记录。其中第一类易制毒品按照</w:t>
            </w:r>
            <w:r>
              <w:fldChar w:fldCharType="begin"/>
            </w:r>
            <w:r>
              <w:instrText xml:space="preserve"> HYPERLINK "http://baike.sogou.com/lemma/ShowInnerLink.htm?lemmaId=257144&amp;ss_c=ssc.citiao.link" \t "_blank" </w:instrText>
            </w:r>
            <w:r>
              <w:fldChar w:fldCharType="separate"/>
            </w:r>
            <w:r>
              <w:rPr>
                <w:rFonts w:hint="eastAsia" w:ascii="仿宋_GB2312" w:hAnsi="仿宋_GB2312" w:cs="仿宋_GB2312"/>
                <w:color w:val="000000"/>
                <w:spacing w:val="-12"/>
                <w:kern w:val="0"/>
                <w:sz w:val="28"/>
                <w:szCs w:val="28"/>
              </w:rPr>
              <w:t>教育部</w:t>
            </w:r>
            <w:r>
              <w:rPr>
                <w:rFonts w:hint="eastAsia" w:ascii="仿宋_GB2312" w:hAnsi="仿宋_GB2312" w:cs="仿宋_GB2312"/>
                <w:color w:val="000000"/>
                <w:spacing w:val="-12"/>
                <w:kern w:val="0"/>
                <w:sz w:val="28"/>
                <w:szCs w:val="28"/>
              </w:rPr>
              <w:fldChar w:fldCharType="end"/>
            </w:r>
            <w:r>
              <w:rPr>
                <w:rFonts w:hint="eastAsia" w:ascii="仿宋_GB2312" w:hAnsi="仿宋_GB2312" w:cs="仿宋_GB2312"/>
                <w:color w:val="000000"/>
                <w:spacing w:val="-12"/>
                <w:kern w:val="0"/>
                <w:sz w:val="28"/>
                <w:szCs w:val="28"/>
              </w:rPr>
              <w:t>《关于加强对高校</w:t>
            </w:r>
            <w:r>
              <w:fldChar w:fldCharType="begin"/>
            </w:r>
            <w:r>
              <w:instrText xml:space="preserve"> HYPERLINK "http://baike.sogou.com/lemma/ShowInnerLink.htm?lemmaId=76114774&amp;ss_c=ssc.citiao.link" \t "_blank" </w:instrText>
            </w:r>
            <w:r>
              <w:fldChar w:fldCharType="separate"/>
            </w:r>
            <w:r>
              <w:rPr>
                <w:rFonts w:hint="eastAsia" w:ascii="仿宋_GB2312" w:hAnsi="仿宋_GB2312" w:cs="仿宋_GB2312"/>
                <w:color w:val="000000"/>
                <w:spacing w:val="-12"/>
                <w:kern w:val="0"/>
                <w:sz w:val="28"/>
                <w:szCs w:val="28"/>
              </w:rPr>
              <w:t>危险化学品安全管理</w:t>
            </w:r>
            <w:r>
              <w:rPr>
                <w:rFonts w:hint="eastAsia" w:ascii="仿宋_GB2312" w:hAnsi="仿宋_GB2312" w:cs="仿宋_GB2312"/>
                <w:color w:val="000000"/>
                <w:spacing w:val="-12"/>
                <w:kern w:val="0"/>
                <w:sz w:val="28"/>
                <w:szCs w:val="28"/>
              </w:rPr>
              <w:fldChar w:fldCharType="end"/>
            </w:r>
            <w:r>
              <w:rPr>
                <w:rFonts w:hint="eastAsia" w:ascii="仿宋_GB2312" w:hAnsi="仿宋_GB2312" w:cs="仿宋_GB2312"/>
                <w:color w:val="000000"/>
                <w:spacing w:val="-12"/>
                <w:kern w:val="0"/>
                <w:sz w:val="28"/>
                <w:szCs w:val="28"/>
              </w:rPr>
              <w:t>工作的通知》（教技厅〔</w:t>
            </w:r>
            <w:r>
              <w:rPr>
                <w:rFonts w:ascii="仿宋_GB2312" w:hAnsi="仿宋_GB2312" w:cs="仿宋_GB2312"/>
                <w:color w:val="000000"/>
                <w:spacing w:val="-12"/>
                <w:kern w:val="0"/>
                <w:sz w:val="28"/>
                <w:szCs w:val="28"/>
              </w:rPr>
              <w:t>2013</w:t>
            </w:r>
            <w:r>
              <w:rPr>
                <w:rFonts w:hint="eastAsia" w:ascii="仿宋_GB2312" w:hAnsi="仿宋_GB2312" w:cs="仿宋_GB2312"/>
                <w:color w:val="000000"/>
                <w:spacing w:val="-12"/>
                <w:kern w:val="0"/>
                <w:sz w:val="28"/>
                <w:szCs w:val="28"/>
              </w:rPr>
              <w:t>〕</w:t>
            </w:r>
            <w:r>
              <w:rPr>
                <w:rFonts w:ascii="仿宋_GB2312" w:hAnsi="仿宋_GB2312" w:cs="仿宋_GB2312"/>
                <w:color w:val="000000"/>
                <w:spacing w:val="-12"/>
                <w:kern w:val="0"/>
                <w:sz w:val="28"/>
                <w:szCs w:val="28"/>
              </w:rPr>
              <w:t>1</w:t>
            </w:r>
            <w:r>
              <w:rPr>
                <w:rFonts w:hint="eastAsia" w:ascii="仿宋_GB2312" w:hAnsi="仿宋_GB2312" w:cs="仿宋_GB2312"/>
                <w:color w:val="000000"/>
                <w:spacing w:val="-12"/>
                <w:kern w:val="0"/>
                <w:sz w:val="28"/>
                <w:szCs w:val="28"/>
              </w:rPr>
              <w:t>号）规定实行“五双”管理制度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易制爆品购买前须经院系批准，报公安部门审批同意后进行采购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易制爆品分类存放、专人保管并做好领取、使用、处置记录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麻醉品、精神类药品等购买前须经院系和学校审批后向食品药品监督管理部门申请，报批同意后方可向定点供应商或者定点生产企业采购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7.3.7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麻醉品和精神类药品储存于专门的保险柜中，有规范的领取、使用、处置台账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有气体钢瓶台帐，钢瓶颜色和字体清楚，有状态标识牌</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可燃性气体与氧气等助燃气体不混放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涉及剧毒、易燃易爆气体的场所，配有通风设施和监控报警装置等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危险气体钢瓶存放点通风、远离热源</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无气体钢瓶放在走廊、大厅等公共场所的现象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气体钢瓶已正确固定</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气体管路材质选择合适，无破损或老化现象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气体连接管路连接正确，并时常进行检漏</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有气体管路标识，对于存在多条气体管路的房间张贴了详细的管路图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7.4.10</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实验结束后，气体钢瓶总阀已关闭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独立的气体钢瓶室有专人管理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7.4.12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无废旧气体钢瓶，无大量气体钢瓶堆放现象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化学废弃物处置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使用学校统一的化学实验废弃物标签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配备化学实验废弃物分类容器</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对化学废弃物进行分类存放、包装（应避免与易产生剧烈反应的物品混放），并贴好信息齐全的标签，及时送学校中转站或收集点</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无大量存放化学废弃物的现象，定时清运化学实验废弃物</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无实验废弃物和生活垃圾混放现象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无向下水道倾倒废旧化学试剂等现象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无实验室外堆放实验废弃物现象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对于产生有毒和异味废气的，有气体吸收装置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7.5.9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锐器废物盛放在纸板箱等不易被刺穿的容器中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使用学校统一的试剂标签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配置试剂、合成品、样品等标签信息明确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配置试剂、合成品等不得无盖放置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无使用饮料瓶存放试剂、样品的现象。如确需存放，必须撕去原包装纸，贴上专用标签纸</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无在原标签纸未撕去的空试剂瓶中存放其它化学品的现象（除非将原标签撕去、重新贴上专用标签纸）</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用于浸泡玻璃器皿的酸缸、碱缸等盖放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7.6.7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不存在使用破损量筒、试管等玻璃器皿的现象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8</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教学实验室与人员资质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开展病原微生物相关实验和研究的实验室，须具备相应的安全等级资质和生物危害因子实验活动资格</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开展病原微生物相关实验和研究的人员须经过专业培训，并取得相应的证书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开展病原微生物实验须按有关规定向卫生或农业主管部门申报备案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开展未经灭活的高致病性病原微生物（列入一类、二类）相关实验和研究，必须在</w:t>
            </w:r>
            <w:r>
              <w:rPr>
                <w:rFonts w:ascii="仿宋_GB2312" w:hAnsi="仿宋_GB2312" w:cs="仿宋_GB2312"/>
                <w:color w:val="000000"/>
                <w:spacing w:val="-12"/>
                <w:kern w:val="0"/>
                <w:sz w:val="28"/>
                <w:szCs w:val="28"/>
              </w:rPr>
              <w:t>BSL-3/ABSL-3</w:t>
            </w:r>
            <w:r>
              <w:rPr>
                <w:rFonts w:hint="eastAsia" w:ascii="仿宋_GB2312" w:hAnsi="仿宋_GB2312" w:cs="仿宋_GB2312"/>
                <w:color w:val="000000"/>
                <w:spacing w:val="-12"/>
                <w:kern w:val="0"/>
                <w:sz w:val="28"/>
                <w:szCs w:val="28"/>
              </w:rPr>
              <w:t>、</w:t>
            </w:r>
            <w:r>
              <w:rPr>
                <w:rFonts w:ascii="仿宋_GB2312" w:hAnsi="仿宋_GB2312" w:cs="仿宋_GB2312"/>
                <w:color w:val="000000"/>
                <w:spacing w:val="-12"/>
                <w:kern w:val="0"/>
                <w:sz w:val="28"/>
                <w:szCs w:val="28"/>
              </w:rPr>
              <w:t>BSL-4/ABSL-4</w:t>
            </w:r>
            <w:r>
              <w:rPr>
                <w:rFonts w:hint="eastAsia" w:ascii="仿宋_GB2312" w:hAnsi="仿宋_GB2312" w:cs="仿宋_GB2312"/>
                <w:color w:val="000000"/>
                <w:spacing w:val="-12"/>
                <w:kern w:val="0"/>
                <w:sz w:val="28"/>
                <w:szCs w:val="28"/>
              </w:rPr>
              <w:t>实验室中进行</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开展低致病性病原微生物（列入三类、四类），或经灭活的高致病性感染性材料的相关实验和研究，必须在</w:t>
            </w:r>
            <w:r>
              <w:rPr>
                <w:rFonts w:ascii="仿宋_GB2312" w:hAnsi="仿宋_GB2312" w:cs="仿宋_GB2312"/>
                <w:color w:val="000000"/>
                <w:spacing w:val="-12"/>
                <w:kern w:val="0"/>
                <w:sz w:val="28"/>
                <w:szCs w:val="28"/>
              </w:rPr>
              <w:t>BSL-1/ ABSL-1</w:t>
            </w:r>
            <w:r>
              <w:rPr>
                <w:rFonts w:hint="eastAsia" w:ascii="仿宋_GB2312" w:hAnsi="仿宋_GB2312" w:cs="仿宋_GB2312"/>
                <w:color w:val="000000"/>
                <w:spacing w:val="-12"/>
                <w:kern w:val="0"/>
                <w:sz w:val="28"/>
                <w:szCs w:val="28"/>
              </w:rPr>
              <w:t>及以上等级实验室中进行</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饲养实验动物的场所应有资质证书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实验动物系从具有资质的单位购买的，须持有合格证明</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设施与场所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教学实验室安全防范设施达到安全要求。</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配有符合相应生物安全等级要求的生物安全柜，定期检查生物安全柜风速及高效空气微粒过滤器性能并做好记录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储存病原微生物的场所或储柜配备防盗设施并安装监控报警装置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有高压灭菌器并能正常工作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安装防虫纱窗，入口处设有挡鼠板</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采购高致病性病原微生物前需经院系和学校审批后，报行业主管部门批准，并做好记录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实验室自行分离的高致病性病原微生物，需按有关规定报卫生或农业主管部门批准，方可保藏</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有病原微生物保藏、实验使用、销毁的记录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在合适的生物安全柜中进行实验</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对病原微生物实验操作时具有相应的个人防护措施</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ascii="仿宋_GB2312" w:hAnsi="仿宋_GB2312" w:cs="仿宋_GB2312"/>
                <w:color w:val="000000"/>
                <w:spacing w:val="-12"/>
                <w:kern w:val="0"/>
                <w:sz w:val="28"/>
                <w:szCs w:val="28"/>
              </w:rPr>
              <w:t>BSL-2 /ABSL-2</w:t>
            </w:r>
            <w:r>
              <w:rPr>
                <w:rFonts w:hint="eastAsia" w:ascii="仿宋_GB2312" w:hAnsi="仿宋_GB2312" w:cs="仿宋_GB2312"/>
                <w:color w:val="000000"/>
                <w:spacing w:val="-12"/>
                <w:kern w:val="0"/>
                <w:sz w:val="28"/>
                <w:szCs w:val="28"/>
              </w:rPr>
              <w:t>及以上等级实验室，开展病原微生物的相关实验活动应有风险评估和应急预案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sz w:val="28"/>
                <w:szCs w:val="28"/>
              </w:rPr>
              <w:t>禁止戴实验防护手套操作未受潜在感染性生物材料污染的设施设备（包括门窗、开关、仪器、冰箱、电脑、电话等）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sz w:val="28"/>
                <w:szCs w:val="28"/>
              </w:rPr>
            </w:pPr>
            <w:r>
              <w:rPr>
                <w:rFonts w:hint="eastAsia" w:ascii="仿宋_GB2312" w:hAnsi="仿宋_GB2312" w:cs="仿宋_GB2312"/>
                <w:color w:val="000000"/>
                <w:spacing w:val="-12"/>
                <w:sz w:val="28"/>
                <w:szCs w:val="28"/>
              </w:rPr>
              <w:t>用于解剖的实验动物须通过检验检疫</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8.3.9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sz w:val="28"/>
                <w:szCs w:val="28"/>
              </w:rPr>
            </w:pPr>
            <w:r>
              <w:rPr>
                <w:rFonts w:hint="eastAsia" w:ascii="仿宋_GB2312" w:hAnsi="仿宋_GB2312" w:cs="仿宋_GB2312"/>
                <w:color w:val="000000"/>
                <w:spacing w:val="-12"/>
                <w:sz w:val="28"/>
                <w:szCs w:val="28"/>
              </w:rPr>
              <w:t>解剖实验动物时，必须做好个人防护</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jc w:val="center"/>
              <w:rPr>
                <w:rFonts w:ascii="仿宋_GB2312"/>
                <w:color w:val="000000"/>
                <w:spacing w:val="-12"/>
                <w:kern w:val="0"/>
                <w:sz w:val="28"/>
                <w:szCs w:val="28"/>
              </w:rPr>
            </w:pPr>
            <w:r>
              <w:rPr>
                <w:rFonts w:hint="eastAsia" w:ascii="仿宋_GB2312"/>
                <w:color w:val="000000"/>
                <w:spacing w:val="-12"/>
                <w:kern w:val="0"/>
                <w:sz w:val="28"/>
                <w:szCs w:val="28"/>
              </w:rPr>
              <w:t>8.4</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生物实验废弃物处置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涉及病原微生物的实验室废弃物必须进行高温高压灭菌或化学浸泡灭菌处理并做好处置记录。高致病性生物材料废弃物处置进行溯源追踪</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贴有学校统一的生化固体废弃物标签</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配备生化固废分类容器（一般生化固废使用黄色塑料袋存放，但刀片、移液枪头等尖锐物应使用纸板箱包装以避免穿透伤人）</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对生物实验废弃物进行分类收集并贴好标签，及时送学校中转站或收集点</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与有资质的单位签约处置生化废弃物，有处置记录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8.4.6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无实验废弃物和生活垃圾混放现象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9</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辐射安全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实验室资质与人员要求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开展辐射相关工作</w:t>
            </w:r>
            <w:r>
              <w:rPr>
                <w:rFonts w:ascii="仿宋_GB2312" w:hAnsi="仿宋_GB2312" w:cs="仿宋_GB2312"/>
                <w:color w:val="000000"/>
                <w:spacing w:val="-12"/>
                <w:kern w:val="0"/>
                <w:sz w:val="28"/>
                <w:szCs w:val="28"/>
              </w:rPr>
              <w:t>,</w:t>
            </w:r>
            <w:r>
              <w:rPr>
                <w:rFonts w:hint="eastAsia" w:ascii="仿宋_GB2312" w:hAnsi="仿宋_GB2312" w:cs="仿宋_GB2312"/>
                <w:color w:val="000000"/>
                <w:spacing w:val="-12"/>
                <w:kern w:val="0"/>
                <w:sz w:val="28"/>
                <w:szCs w:val="28"/>
              </w:rPr>
              <w:t>必须取得《辐射安全许可证》，并按规定在放射性核素种类和用量许可范围内开展实验</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涉辐人员经过专门培训，有《辐射安全与防护培训学习合格证书》</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涉辐人员按时参加职业体检</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涉辐人员佩带个人剂量计，并按时进行剂量检测（</w:t>
            </w:r>
            <w:r>
              <w:rPr>
                <w:rFonts w:ascii="仿宋_GB2312" w:hAnsi="仿宋_GB2312" w:cs="仿宋_GB2312"/>
                <w:color w:val="000000"/>
                <w:spacing w:val="-12"/>
                <w:kern w:val="0"/>
                <w:sz w:val="28"/>
                <w:szCs w:val="28"/>
              </w:rPr>
              <w:t>3</w:t>
            </w:r>
            <w:r>
              <w:rPr>
                <w:rFonts w:hint="eastAsia" w:ascii="仿宋_GB2312" w:hAnsi="仿宋_GB2312" w:cs="仿宋_GB2312"/>
                <w:color w:val="000000"/>
                <w:spacing w:val="-12"/>
                <w:kern w:val="0"/>
                <w:sz w:val="28"/>
                <w:szCs w:val="28"/>
              </w:rPr>
              <w:t>个月一次）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辐照设施设备具有能正常工作的安全连锁装置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放射源储存库双门双控并有安全报警系统（与公安部门</w:t>
            </w:r>
            <w:r>
              <w:rPr>
                <w:rFonts w:ascii="仿宋_GB2312" w:hAnsi="仿宋_GB2312" w:cs="仿宋_GB2312"/>
                <w:color w:val="000000"/>
                <w:spacing w:val="-12"/>
                <w:kern w:val="0"/>
                <w:sz w:val="28"/>
                <w:szCs w:val="28"/>
              </w:rPr>
              <w:t>110</w:t>
            </w:r>
            <w:r>
              <w:rPr>
                <w:rFonts w:hint="eastAsia" w:ascii="仿宋_GB2312" w:hAnsi="仿宋_GB2312" w:cs="仿宋_GB2312"/>
                <w:color w:val="000000"/>
                <w:spacing w:val="-12"/>
                <w:kern w:val="0"/>
                <w:sz w:val="28"/>
                <w:szCs w:val="28"/>
              </w:rPr>
              <w:t>联网）和视频监控系统</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涉辐实验场所（放射性物质、</w:t>
            </w:r>
            <w:r>
              <w:rPr>
                <w:rFonts w:ascii="仿宋_GB2312" w:hAnsi="仿宋_GB2312" w:cs="仿宋_GB2312"/>
                <w:color w:val="000000"/>
                <w:spacing w:val="-12"/>
                <w:kern w:val="0"/>
                <w:sz w:val="28"/>
                <w:szCs w:val="28"/>
              </w:rPr>
              <w:t>X</w:t>
            </w:r>
            <w:r>
              <w:rPr>
                <w:rFonts w:hint="eastAsia" w:ascii="仿宋_GB2312" w:hAnsi="仿宋_GB2312" w:cs="仿宋_GB2312"/>
                <w:color w:val="000000"/>
                <w:spacing w:val="-12"/>
                <w:kern w:val="0"/>
                <w:sz w:val="28"/>
                <w:szCs w:val="28"/>
              </w:rPr>
              <w:t>射线装置）有安全警示标识、警戒线和剂量报警仪</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涉辐实验场所配备各种辐射防护器材和表面污染监测仪器设备</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有专门存放放射性废弃物的容器和暂存库</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9.2.6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非密封性放射性实验室有衰减池</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采购、转让转移与运输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放射源和放射性物质的采购和转让转移经学校及政府环保部门的审批、备案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放射源和放射性物质的转移和运输经学校及公安部门的审批、备案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及时做好放射源和放射性物质变更登记台帐</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9.4</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辐照装置、射线探伤仪和非密封性放射性实验操作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9.4.1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辐照装置操作须符合国家相关规定，制定并严格执行操作规程，有安保方案和应急预案</w:t>
            </w:r>
            <w:r>
              <w:rPr>
                <w:rFonts w:ascii="仿宋_GB2312" w:hAnsi="仿宋_GB2312" w:cs="仿宋_GB2312"/>
                <w:color w:val="000000"/>
                <w:spacing w:val="-12"/>
                <w:kern w:val="0"/>
                <w:sz w:val="28"/>
                <w:szCs w:val="28"/>
              </w:rPr>
              <w:t xml:space="preserve"> </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9.4.2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电子加速器辐照装置操作须符合国家相关规定，制定并严格执行操作规程，有安保方案和应急预案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9.4.3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射线探伤仪操作须符合国家相关规定，制定并严格执行操作规程，有安保方案和应急预案</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9.4.4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非密封性放射性实验操作须符合国家相关规定，制定并严格执行操作规程</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9.5</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放射性实验废物的处置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9.5.1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报废含有放射源或可产生放射性的设备，须报学校相关部门同意，并按国家有关规定进行退役处置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9.5.2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中、长半衰期核素固液废弃物处置须符合国家相关规定，有处置方案或回收协议，并做好处置记录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9.5.3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短半衰期核素固液废弃物放置</w:t>
            </w:r>
            <w:r>
              <w:rPr>
                <w:rFonts w:ascii="仿宋_GB2312" w:hAnsi="仿宋_GB2312" w:cs="仿宋_GB2312"/>
                <w:color w:val="000000"/>
                <w:spacing w:val="-12"/>
                <w:kern w:val="0"/>
                <w:sz w:val="28"/>
                <w:szCs w:val="28"/>
              </w:rPr>
              <w:t>10</w:t>
            </w:r>
            <w:r>
              <w:rPr>
                <w:rFonts w:hint="eastAsia" w:ascii="仿宋_GB2312" w:hAnsi="仿宋_GB2312" w:cs="仿宋_GB2312"/>
                <w:color w:val="000000"/>
                <w:spacing w:val="-12"/>
                <w:kern w:val="0"/>
                <w:sz w:val="28"/>
                <w:szCs w:val="28"/>
              </w:rPr>
              <w:t>个半衰期经检测达标后作为普通废物处理，并做好处置记录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bCs/>
                <w:color w:val="000000"/>
                <w:spacing w:val="-12"/>
                <w:kern w:val="0"/>
                <w:sz w:val="28"/>
                <w:szCs w:val="28"/>
              </w:rPr>
              <w:t>有激光器的安全使用方法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bCs/>
                <w:color w:val="000000"/>
                <w:spacing w:val="-12"/>
                <w:kern w:val="0"/>
                <w:sz w:val="28"/>
                <w:szCs w:val="28"/>
              </w:rPr>
              <w:t>功率较大的激光器有互锁装置</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bCs/>
                <w:color w:val="000000"/>
                <w:spacing w:val="-12"/>
                <w:kern w:val="0"/>
                <w:sz w:val="28"/>
                <w:szCs w:val="28"/>
              </w:rPr>
            </w:pPr>
            <w:r>
              <w:rPr>
                <w:rFonts w:hint="eastAsia" w:ascii="仿宋_GB2312" w:hAnsi="仿宋_GB2312" w:cs="仿宋_GB2312"/>
                <w:bCs/>
                <w:color w:val="000000"/>
                <w:spacing w:val="-12"/>
                <w:kern w:val="0"/>
                <w:sz w:val="28"/>
                <w:szCs w:val="28"/>
              </w:rPr>
              <w:t>操作人员有穿戴防护眼镜等防护用品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bCs/>
                <w:color w:val="000000"/>
                <w:spacing w:val="-12"/>
                <w:kern w:val="0"/>
                <w:sz w:val="28"/>
                <w:szCs w:val="28"/>
              </w:rPr>
            </w:pPr>
            <w:r>
              <w:rPr>
                <w:rFonts w:hint="eastAsia" w:ascii="仿宋_GB2312" w:hAnsi="仿宋_GB2312" w:cs="仿宋_GB2312"/>
                <w:bCs/>
                <w:color w:val="000000"/>
                <w:spacing w:val="-12"/>
                <w:kern w:val="0"/>
                <w:sz w:val="28"/>
                <w:szCs w:val="28"/>
              </w:rPr>
              <w:t>操作人员不带手表等能反光的物品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9.6.5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bCs/>
                <w:color w:val="000000"/>
                <w:spacing w:val="-12"/>
                <w:kern w:val="0"/>
                <w:sz w:val="28"/>
                <w:szCs w:val="28"/>
              </w:rPr>
            </w:pPr>
            <w:r>
              <w:rPr>
                <w:rFonts w:hint="eastAsia" w:ascii="仿宋_GB2312" w:hAnsi="仿宋_GB2312" w:cs="仿宋_GB2312"/>
                <w:bCs/>
                <w:color w:val="000000"/>
                <w:spacing w:val="-12"/>
                <w:kern w:val="0"/>
                <w:sz w:val="28"/>
                <w:szCs w:val="28"/>
              </w:rPr>
              <w:t>激光照射方向不会对他人造成伤害</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10</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仿宋_GB2312" w:eastAsia="黑体" w:cs="仿宋_GB2312"/>
                <w:color w:val="000000"/>
                <w:spacing w:val="-12"/>
                <w:kern w:val="0"/>
                <w:sz w:val="28"/>
                <w:szCs w:val="28"/>
              </w:rPr>
            </w:pPr>
            <w:r>
              <w:rPr>
                <w:rFonts w:hint="eastAsia" w:ascii="黑体" w:hAnsi="黑体" w:eastAsia="黑体" w:cs="黑体"/>
                <w:color w:val="000000"/>
                <w:spacing w:val="-12"/>
                <w:kern w:val="0"/>
                <w:sz w:val="28"/>
                <w:szCs w:val="28"/>
              </w:rPr>
              <w:t>仪器设备安全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建立设备台帐</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高功率的设备与电路容量相匹配</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仪器设备接地良好</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仪器设备使用完后，及时关闭电源，包括电脑显示器电源</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有仪器设备运行、维护记录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对于高温、高压、高速运动、电磁辐射等特殊设备，有安全警示标识并配备相应安全防护设施（如防护罩、防护栏、自屏蔽设施等）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无电脑、空调、饮水机等开机过夜现象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对于不能断电的特殊仪器设备，采取必要的防护措施（如双路供电、不间断电源等）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特种设备（锅炉、压力容器、起重机械等）需持有资质单位出具的检定证明，操作人员需持证上岗</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10.1.10</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电子天平不放在阳光直射的地方，且用后及时清理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冰箱管理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贮存危险化学品的冰箱为防爆冰箱或经过防爆改造的冰箱</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冰箱内存放的物品必须标识明确（包括品名、使用人、日期等）并经常清理</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冰箱内储存试剂必须密封好</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8"/>
                <w:kern w:val="0"/>
                <w:sz w:val="28"/>
                <w:szCs w:val="28"/>
              </w:rPr>
            </w:pPr>
            <w:r>
              <w:rPr>
                <w:rFonts w:hint="eastAsia" w:ascii="仿宋_GB2312" w:hAnsi="仿宋_GB2312" w:cs="仿宋_GB2312"/>
                <w:color w:val="000000"/>
                <w:spacing w:val="-18"/>
                <w:kern w:val="0"/>
                <w:sz w:val="28"/>
                <w:szCs w:val="28"/>
              </w:rPr>
              <w:t>无冰箱超期服役现象（一般使用期限控制为</w:t>
            </w:r>
            <w:r>
              <w:rPr>
                <w:rFonts w:ascii="仿宋_GB2312" w:hAnsi="仿宋_GB2312" w:cs="仿宋_GB2312"/>
                <w:color w:val="000000"/>
                <w:spacing w:val="-18"/>
                <w:kern w:val="0"/>
                <w:sz w:val="28"/>
                <w:szCs w:val="28"/>
              </w:rPr>
              <w:t>10</w:t>
            </w:r>
            <w:r>
              <w:rPr>
                <w:rFonts w:hint="eastAsia" w:ascii="仿宋_GB2312" w:hAnsi="仿宋_GB2312" w:cs="仿宋_GB2312"/>
                <w:color w:val="000000"/>
                <w:spacing w:val="-18"/>
                <w:kern w:val="0"/>
                <w:sz w:val="28"/>
                <w:szCs w:val="28"/>
              </w:rPr>
              <w:t>年）</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不在冰箱周围堆放杂物，影响散热</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10.2.6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实验室冰箱中不得放置食品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bookmarkStart w:id="0" w:name="OLE_LINK2"/>
            <w:r>
              <w:rPr>
                <w:rFonts w:hint="eastAsia" w:ascii="仿宋_GB2312" w:hAnsi="仿宋_GB2312" w:cs="仿宋_GB2312"/>
                <w:color w:val="000000"/>
                <w:spacing w:val="-12"/>
                <w:kern w:val="0"/>
                <w:sz w:val="28"/>
                <w:szCs w:val="28"/>
              </w:rPr>
              <w:t>烘箱与电阻炉</w:t>
            </w:r>
            <w:bookmarkEnd w:id="0"/>
            <w:r>
              <w:rPr>
                <w:rFonts w:hint="eastAsia" w:ascii="仿宋_GB2312" w:hAnsi="仿宋_GB2312" w:cs="仿宋_GB2312"/>
                <w:color w:val="000000"/>
                <w:spacing w:val="-12"/>
                <w:kern w:val="0"/>
                <w:sz w:val="28"/>
                <w:szCs w:val="28"/>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烘箱、电阻炉无超期服役现象（一般使用期限控制为</w:t>
            </w:r>
            <w:r>
              <w:rPr>
                <w:rFonts w:ascii="仿宋_GB2312" w:hAnsi="仿宋_GB2312" w:cs="仿宋_GB2312"/>
                <w:color w:val="000000"/>
                <w:spacing w:val="-12"/>
                <w:kern w:val="0"/>
                <w:sz w:val="28"/>
                <w:szCs w:val="28"/>
              </w:rPr>
              <w:t>12</w:t>
            </w:r>
            <w:r>
              <w:rPr>
                <w:rFonts w:hint="eastAsia" w:ascii="仿宋_GB2312" w:hAnsi="仿宋_GB2312" w:cs="仿宋_GB2312"/>
                <w:color w:val="000000"/>
                <w:spacing w:val="-12"/>
                <w:kern w:val="0"/>
                <w:sz w:val="28"/>
                <w:szCs w:val="28"/>
              </w:rPr>
              <w:t>年）</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不使用有故障、破损的烘箱、电阻炉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不在烘箱等加热设备内烘烤易燃易爆化学试剂、塑料等易燃物品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不使用塑料筐盛放实验物品在烘箱等加热设备内烘烤</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烘箱、电阻炉等附近不存放气体钢瓶、易燃易爆化学品</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烘箱、电阻炉等加热设备周围要有一定的散热空间，不存在堆放杂物，影响散热的现象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10.3.7</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使用烘箱、电阻炉等加热设备时有人值守（或</w:t>
            </w:r>
            <w:r>
              <w:rPr>
                <w:rFonts w:ascii="仿宋_GB2312" w:hAnsi="仿宋_GB2312" w:cs="仿宋_GB2312"/>
                <w:color w:val="000000"/>
                <w:spacing w:val="-12"/>
                <w:kern w:val="0"/>
                <w:sz w:val="28"/>
                <w:szCs w:val="28"/>
              </w:rPr>
              <w:t>10-15</w:t>
            </w:r>
            <w:r>
              <w:rPr>
                <w:rFonts w:hint="eastAsia" w:ascii="仿宋_GB2312" w:hAnsi="仿宋_GB2312" w:cs="仿宋_GB2312"/>
                <w:color w:val="000000"/>
                <w:spacing w:val="-12"/>
                <w:kern w:val="0"/>
                <w:sz w:val="28"/>
                <w:szCs w:val="28"/>
              </w:rPr>
              <w:t>分钟检查一次）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10.3.8</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无烘箱位置放置过低、影响物品取用的现象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10.3.9</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烘箱、电阻炉等不直接放置在木桌、木板等易燃物品上</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10.4</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明火电炉与电吹风等管理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10.4.1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未经学校有关部门许可不使用明火电炉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10.4.2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有许可证使用明火电炉的，其使用位置周围无易燃物品，并配备灭火器、砂桶等灭火设施</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10.4.3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不得使用明火电炉加热易燃易爆溶剂</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10.4.4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明火电炉、电吹风、电热枪、电烙铁等用毕，及时拔除电源插头</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黑体" w:eastAsia="黑体"/>
                <w:color w:val="000000"/>
                <w:spacing w:val="-12"/>
                <w:kern w:val="0"/>
                <w:sz w:val="28"/>
                <w:szCs w:val="28"/>
              </w:rPr>
            </w:pPr>
            <w:r>
              <w:rPr>
                <w:rFonts w:hint="eastAsia" w:ascii="黑体" w:eastAsia="黑体"/>
                <w:color w:val="000000"/>
                <w:spacing w:val="-12"/>
                <w:kern w:val="0"/>
                <w:sz w:val="28"/>
                <w:szCs w:val="28"/>
              </w:rPr>
              <w:t>11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黑体" w:hAnsi="黑体" w:eastAsia="黑体" w:cs="黑体"/>
                <w:color w:val="000000"/>
                <w:spacing w:val="-12"/>
                <w:kern w:val="0"/>
                <w:sz w:val="28"/>
                <w:szCs w:val="28"/>
              </w:rPr>
            </w:pPr>
            <w:r>
              <w:rPr>
                <w:rFonts w:hint="eastAsia" w:ascii="黑体" w:hAnsi="黑体" w:eastAsia="黑体" w:cs="黑体"/>
                <w:color w:val="000000"/>
                <w:spacing w:val="-12"/>
                <w:kern w:val="0"/>
                <w:sz w:val="28"/>
                <w:szCs w:val="28"/>
              </w:rPr>
              <w:t>个人防护与其它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正确选用防护用品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穿实验服或防护服</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按需要佩戴防护眼镜（如进行化学实验、有危险的机械操作等）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涉及化学和高温实验时，不得佩戴隐形眼镜</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特殊场所按需佩戴安全帽、防护帽，无长发飘散在外的现象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按需要佩戴防护手套（涉及不同的有害化学物质、病原微生物、高温和低温等），手套需正确选择种类和材质</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11.1.6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在特殊实验室使用呼吸器或面罩（如有挥发性毒物、溅射危险等）并正确选择种类</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w:t>
            </w:r>
          </w:p>
        </w:tc>
        <w:tc>
          <w:tcPr>
            <w:tcW w:w="8164" w:type="dxa"/>
            <w:gridSpan w:val="5"/>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11.2.1</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危险性实验（如高温、高压、高速运转等）时必须有</w:t>
            </w:r>
            <w:r>
              <w:rPr>
                <w:rFonts w:ascii="仿宋_GB2312" w:hAnsi="仿宋_GB2312" w:cs="仿宋_GB2312"/>
                <w:color w:val="000000"/>
                <w:spacing w:val="-12"/>
                <w:kern w:val="0"/>
                <w:sz w:val="28"/>
                <w:szCs w:val="28"/>
              </w:rPr>
              <w:t>2</w:t>
            </w:r>
            <w:r>
              <w:rPr>
                <w:rFonts w:hint="eastAsia" w:ascii="仿宋_GB2312" w:hAnsi="仿宋_GB2312" w:cs="仿宋_GB2312"/>
                <w:color w:val="000000"/>
                <w:spacing w:val="-12"/>
                <w:kern w:val="0"/>
                <w:sz w:val="28"/>
                <w:szCs w:val="28"/>
              </w:rPr>
              <w:t>人同时在场</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11.2.2</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实验时不能脱岗，通宵实验须</w:t>
            </w:r>
            <w:r>
              <w:rPr>
                <w:rFonts w:ascii="仿宋_GB2312" w:hAnsi="仿宋_GB2312" w:cs="仿宋_GB2312"/>
                <w:color w:val="000000"/>
                <w:spacing w:val="-12"/>
                <w:kern w:val="0"/>
                <w:sz w:val="28"/>
                <w:szCs w:val="28"/>
              </w:rPr>
              <w:t>2</w:t>
            </w:r>
            <w:r>
              <w:rPr>
                <w:rFonts w:hint="eastAsia" w:ascii="仿宋_GB2312" w:hAnsi="仿宋_GB2312" w:cs="仿宋_GB2312"/>
                <w:color w:val="000000"/>
                <w:spacing w:val="-12"/>
                <w:kern w:val="0"/>
                <w:sz w:val="28"/>
                <w:szCs w:val="28"/>
              </w:rPr>
              <w:t>人同时在场</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11.2.3</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snapToGrid w:val="0"/>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实验室内无穿拖鞋、短裤等现象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11.2.4</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非实验区（如电梯、办公室、休息室、会议室、餐厅等）无穿戴实验服、实验手套等现象</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11.2.5</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操作机床等旋转设备时，不穿戴长围巾、丝巾、领带等</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92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color w:val="000000"/>
                <w:spacing w:val="-12"/>
                <w:kern w:val="0"/>
                <w:sz w:val="28"/>
                <w:szCs w:val="28"/>
              </w:rPr>
            </w:pPr>
            <w:r>
              <w:rPr>
                <w:rFonts w:hint="eastAsia" w:ascii="仿宋_GB2312"/>
                <w:color w:val="000000"/>
                <w:spacing w:val="-12"/>
                <w:kern w:val="0"/>
                <w:sz w:val="28"/>
                <w:szCs w:val="28"/>
              </w:rPr>
              <w:t>11.2.6</w:t>
            </w:r>
          </w:p>
        </w:tc>
        <w:tc>
          <w:tcPr>
            <w:tcW w:w="5551"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r>
              <w:rPr>
                <w:rFonts w:hint="eastAsia" w:ascii="仿宋_GB2312" w:hAnsi="仿宋_GB2312" w:cs="仿宋_GB2312"/>
                <w:color w:val="000000"/>
                <w:spacing w:val="-12"/>
                <w:kern w:val="0"/>
                <w:sz w:val="28"/>
                <w:szCs w:val="28"/>
              </w:rPr>
              <w:t>有规范的实验记录</w:t>
            </w:r>
          </w:p>
        </w:tc>
        <w:tc>
          <w:tcPr>
            <w:tcW w:w="420"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448"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396"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center"/>
              <w:rPr>
                <w:rFonts w:ascii="仿宋_GB2312" w:hAnsi="仿宋_GB2312" w:cs="仿宋_GB2312"/>
                <w:color w:val="000000"/>
                <w:spacing w:val="-12"/>
                <w:kern w:val="0"/>
                <w:sz w:val="28"/>
                <w:szCs w:val="28"/>
              </w:rPr>
            </w:pPr>
          </w:p>
        </w:tc>
        <w:tc>
          <w:tcPr>
            <w:tcW w:w="1349"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widowControl/>
              <w:snapToGrid w:val="0"/>
              <w:jc w:val="left"/>
              <w:rPr>
                <w:rFonts w:ascii="仿宋_GB2312" w:hAnsi="仿宋_GB2312" w:cs="仿宋_GB2312"/>
                <w:color w:val="000000"/>
                <w:spacing w:val="-12"/>
                <w:kern w:val="0"/>
                <w:sz w:val="28"/>
                <w:szCs w:val="28"/>
              </w:rPr>
            </w:pPr>
          </w:p>
        </w:tc>
      </w:tr>
    </w:tbl>
    <w:p/>
    <w:p>
      <w:pPr>
        <w:snapToGrid w:val="0"/>
        <w:rPr>
          <w:rFonts w:ascii="仿宋_GB2312"/>
        </w:rPr>
      </w:pPr>
    </w:p>
    <w:p/>
    <w:p/>
    <w:p/>
    <w:p/>
    <w:p/>
    <w:p/>
    <w:p/>
    <w:p/>
    <w:p/>
    <w:p/>
    <w:p>
      <w:pPr>
        <w:jc w:val="center"/>
        <w:rPr>
          <w:rFonts w:ascii="仿宋_GB2312"/>
        </w:rPr>
      </w:pPr>
      <w:r>
        <w:rPr>
          <w:rFonts w:ascii="仿宋_GB2312"/>
        </w:rPr>
        <w:drawing>
          <wp:anchor distT="0" distB="0" distL="114300" distR="114300" simplePos="0" relativeHeight="251659264" behindDoc="1" locked="0" layoutInCell="1" allowOverlap="1">
            <wp:simplePos x="0" y="0"/>
            <wp:positionH relativeFrom="column">
              <wp:posOffset>3646805</wp:posOffset>
            </wp:positionH>
            <wp:positionV relativeFrom="paragraph">
              <wp:posOffset>506730</wp:posOffset>
            </wp:positionV>
            <wp:extent cx="1794510" cy="474345"/>
            <wp:effectExtent l="0" t="0" r="0" b="1905"/>
            <wp:wrapNone/>
            <wp:docPr id="9" name="图片 9" descr="教高〔2018〕467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教高〔2018〕467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94510" cy="474345"/>
                    </a:xfrm>
                    <a:prstGeom prst="rect">
                      <a:avLst/>
                    </a:prstGeom>
                    <a:noFill/>
                  </pic:spPr>
                </pic:pic>
              </a:graphicData>
            </a:graphic>
          </wp:anchor>
        </w:drawing>
      </w:r>
      <w:r>
        <w:rPr>
          <w:rFonts w:ascii="仿宋_GB2312"/>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5080</wp:posOffset>
                </wp:positionV>
                <wp:extent cx="5497830" cy="0"/>
                <wp:effectExtent l="9525" t="5080" r="7620" b="1397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5497830"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0pt;margin-top:0.4pt;height:0pt;width:432.9pt;z-index:251657216;mso-width-relative:page;mso-height-relative:page;" filled="f" stroked="t" coordsize="21600,21600" o:gfxdata="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ehZ/3tAAAAACAQAA&#10;DwAAAAAAAAABACAAAAAiAAAAZHJzL2Rvd25yZXYueG1sUEsBAhQAFAAAAAgAh07iQAEpOXivAQAA&#10;UQMAAA4AAAAAAAAAAQAgAAAAHwEAAGRycy9lMm9Eb2MueG1sUEsFBgAAAAAGAAYAWQEAAEAFAAAA&#10;AA==&#10;">
                <v:fill on="f" focussize="0,0"/>
                <v:stroke color="#000000" joinstyle="round"/>
                <v:imagedata o:title=""/>
                <o:lock v:ext="edit" aspectratio="f"/>
              </v:line>
            </w:pict>
          </mc:Fallback>
        </mc:AlternateContent>
      </w:r>
      <w:r>
        <w:rPr>
          <w:rFonts w:ascii="仿宋_GB2312"/>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377825</wp:posOffset>
                </wp:positionV>
                <wp:extent cx="5497830" cy="0"/>
                <wp:effectExtent l="9525" t="6350" r="7620" b="12700"/>
                <wp:wrapNone/>
                <wp:docPr id="1" name="Line 4"/>
                <wp:cNvGraphicFramePr/>
                <a:graphic xmlns:a="http://schemas.openxmlformats.org/drawingml/2006/main">
                  <a:graphicData uri="http://schemas.microsoft.com/office/word/2010/wordprocessingShape">
                    <wps:wsp>
                      <wps:cNvCnPr>
                        <a:cxnSpLocks noChangeShapeType="1"/>
                      </wps:cNvCnPr>
                      <wps:spPr bwMode="auto">
                        <a:xfrm>
                          <a:off x="0" y="0"/>
                          <a:ext cx="549783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0pt;margin-top:29.75pt;height:0pt;width:432.9pt;z-index:251656192;mso-width-relative:page;mso-height-relative:page;" filled="f" stroked="t" coordsize="21600,21600" o:gfxdata="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y+aPLtQAAAAG&#10;AQAADwAAAAAAAAABACAAAAAiAAAAZHJzL2Rvd25yZXYueG1sUEsBAhQAFAAAAAgAh07iQG5xBPqu&#10;AQAAUQMAAA4AAAAAAAAAAQAgAAAAIwEAAGRycy9lMm9Eb2MueG1sUEsFBgAAAAAGAAYAWQEAAEMF&#10;AAAAAA==&#10;">
                <v:fill on="f" focussize="0,0"/>
                <v:stroke color="#000000" joinstyle="round"/>
                <v:imagedata o:title=""/>
                <o:lock v:ext="edit" aspectratio="f"/>
              </v:line>
            </w:pict>
          </mc:Fallback>
        </mc:AlternateContent>
      </w:r>
      <w:r>
        <w:rPr>
          <w:rFonts w:hint="eastAsia" w:ascii="仿宋_GB2312"/>
        </w:rPr>
        <w:t>河南省教育厅办公室   主动公开   2018年6月14日印发</w:t>
      </w:r>
    </w:p>
    <w:sectPr>
      <w:footerReference r:id="rId6" w:type="default"/>
      <w:footerReference r:id="rId7" w:type="even"/>
      <w:pgSz w:w="11906" w:h="16838"/>
      <w:pgMar w:top="1928" w:right="1588" w:bottom="1985" w:left="1644" w:header="0" w:footer="1588" w:gutter="0"/>
      <w:cols w:space="425" w:num="1"/>
      <w:docGrid w:type="linesAndChars" w:linePitch="587" w:charSpace="254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Droid Sans Fallback">
    <w:altName w:val="Times New Roman"/>
    <w:panose1 w:val="00000000000000000000"/>
    <w:charset w:val="00"/>
    <w:family w:val="roman"/>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sz w:val="28"/>
        <w:szCs w:val="28"/>
      </w:rPr>
    </w:pPr>
    <w:r>
      <w:rPr>
        <w:rStyle w:val="10"/>
        <w:rFonts w:hint="eastAsia"/>
        <w:sz w:val="28"/>
        <w:szCs w:val="28"/>
      </w:rPr>
      <w:t xml:space="preserve">— </w:t>
    </w:r>
    <w:r>
      <w:rPr>
        <w:rStyle w:val="10"/>
        <w:rFonts w:hint="eastAsia"/>
        <w:sz w:val="28"/>
        <w:szCs w:val="28"/>
      </w:rPr>
      <w:fldChar w:fldCharType="begin"/>
    </w:r>
    <w:r>
      <w:rPr>
        <w:rStyle w:val="10"/>
        <w:rFonts w:hint="eastAsia"/>
        <w:sz w:val="28"/>
        <w:szCs w:val="28"/>
      </w:rPr>
      <w:instrText xml:space="preserve"> PAGE </w:instrText>
    </w:r>
    <w:r>
      <w:rPr>
        <w:rStyle w:val="10"/>
        <w:rFonts w:hint="eastAsia"/>
        <w:sz w:val="28"/>
        <w:szCs w:val="28"/>
      </w:rPr>
      <w:fldChar w:fldCharType="separate"/>
    </w:r>
    <w:r>
      <w:rPr>
        <w:rStyle w:val="10"/>
        <w:sz w:val="28"/>
        <w:szCs w:val="28"/>
      </w:rPr>
      <w:t>1</w:t>
    </w:r>
    <w:r>
      <w:rPr>
        <w:rStyle w:val="10"/>
        <w:rFonts w:hint="eastAsia"/>
        <w:sz w:val="28"/>
        <w:szCs w:val="28"/>
      </w:rPr>
      <w:fldChar w:fldCharType="end"/>
    </w:r>
    <w:r>
      <w:rPr>
        <w:rStyle w:val="10"/>
        <w:rFonts w:hint="eastAsia"/>
        <w:sz w:val="28"/>
        <w:szCs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sz w:val="28"/>
        <w:szCs w:val="28"/>
      </w:rPr>
    </w:pPr>
    <w:r>
      <w:rPr>
        <w:rStyle w:val="10"/>
        <w:rFonts w:hint="eastAsia"/>
        <w:sz w:val="28"/>
        <w:szCs w:val="28"/>
      </w:rPr>
      <w:t xml:space="preserve">— </w:t>
    </w:r>
    <w:r>
      <w:rPr>
        <w:rStyle w:val="10"/>
        <w:rFonts w:hint="eastAsia"/>
        <w:sz w:val="28"/>
        <w:szCs w:val="28"/>
      </w:rPr>
      <w:fldChar w:fldCharType="begin"/>
    </w:r>
    <w:r>
      <w:rPr>
        <w:rStyle w:val="10"/>
        <w:rFonts w:hint="eastAsia"/>
        <w:sz w:val="28"/>
        <w:szCs w:val="28"/>
      </w:rPr>
      <w:instrText xml:space="preserve"> PAGE </w:instrText>
    </w:r>
    <w:r>
      <w:rPr>
        <w:rStyle w:val="10"/>
        <w:rFonts w:hint="eastAsia"/>
        <w:sz w:val="28"/>
        <w:szCs w:val="28"/>
      </w:rPr>
      <w:fldChar w:fldCharType="separate"/>
    </w:r>
    <w:r>
      <w:rPr>
        <w:rStyle w:val="10"/>
        <w:sz w:val="28"/>
        <w:szCs w:val="28"/>
      </w:rPr>
      <w:t>20</w:t>
    </w:r>
    <w:r>
      <w:rPr>
        <w:rStyle w:val="10"/>
        <w:rFonts w:hint="eastAsia"/>
        <w:sz w:val="28"/>
        <w:szCs w:val="28"/>
      </w:rPr>
      <w:fldChar w:fldCharType="end"/>
    </w:r>
    <w:r>
      <w:rPr>
        <w:rStyle w:val="10"/>
        <w:rFonts w:hint="eastAsia"/>
        <w:sz w:val="28"/>
        <w:szCs w:val="28"/>
      </w:rPr>
      <w:t xml:space="preserve"> —</w:t>
    </w: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forms" w:enforcement="0"/>
  <w:defaultTabStop w:val="420"/>
  <w:drawingGridHorizontalSpacing w:val="111"/>
  <w:drawingGridVerticalSpacing w:val="587"/>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010"/>
    <w:rsid w:val="00054C2C"/>
    <w:rsid w:val="0008684F"/>
    <w:rsid w:val="000F63A4"/>
    <w:rsid w:val="001B0880"/>
    <w:rsid w:val="002460B2"/>
    <w:rsid w:val="00250C51"/>
    <w:rsid w:val="002A7ACF"/>
    <w:rsid w:val="00322010"/>
    <w:rsid w:val="00390248"/>
    <w:rsid w:val="003A5072"/>
    <w:rsid w:val="003F0017"/>
    <w:rsid w:val="00536DB9"/>
    <w:rsid w:val="005E4408"/>
    <w:rsid w:val="00677B0A"/>
    <w:rsid w:val="006E59BE"/>
    <w:rsid w:val="00804F21"/>
    <w:rsid w:val="00813876"/>
    <w:rsid w:val="00846EF6"/>
    <w:rsid w:val="00946F99"/>
    <w:rsid w:val="00B805BE"/>
    <w:rsid w:val="00C5775F"/>
    <w:rsid w:val="00CD18EC"/>
    <w:rsid w:val="00D16C3A"/>
    <w:rsid w:val="00D6630A"/>
    <w:rsid w:val="00EA5C33"/>
    <w:rsid w:val="00EF501F"/>
    <w:rsid w:val="00F17394"/>
    <w:rsid w:val="77471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paragraph" w:styleId="2">
    <w:name w:val="heading 2"/>
    <w:basedOn w:val="1"/>
    <w:next w:val="1"/>
    <w:link w:val="17"/>
    <w:qFormat/>
    <w:uiPriority w:val="0"/>
    <w:pPr>
      <w:keepNext/>
      <w:keepLines/>
      <w:spacing w:line="413" w:lineRule="auto"/>
      <w:outlineLvl w:val="1"/>
    </w:pPr>
    <w:rPr>
      <w:rFonts w:ascii="Arial" w:hAnsi="Arial" w:eastAsia="黑体"/>
      <w:b/>
      <w:bCs/>
      <w:sz w:val="32"/>
      <w:szCs w:val="32"/>
    </w:rPr>
  </w:style>
  <w:style w:type="character" w:default="1" w:styleId="8">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Document Map"/>
    <w:basedOn w:val="1"/>
    <w:link w:val="21"/>
    <w:uiPriority w:val="0"/>
    <w:pPr>
      <w:shd w:val="clear" w:color="auto" w:fill="000080"/>
    </w:pPr>
    <w:rPr>
      <w:rFonts w:ascii="Times New Roman" w:hAnsi="Times New Roman" w:eastAsia="宋体"/>
      <w:kern w:val="0"/>
      <w:sz w:val="2"/>
      <w:szCs w:val="20"/>
      <w:shd w:val="clear" w:color="auto" w:fill="000080"/>
    </w:rPr>
  </w:style>
  <w:style w:type="paragraph" w:styleId="4">
    <w:name w:val="Balloon Text"/>
    <w:basedOn w:val="1"/>
    <w:link w:val="19"/>
    <w:uiPriority w:val="0"/>
    <w:rPr>
      <w:rFonts w:ascii="宋体" w:hAnsi="宋体" w:eastAsia="宋体"/>
      <w:sz w:val="18"/>
      <w:szCs w:val="18"/>
    </w:rPr>
  </w:style>
  <w:style w:type="paragraph" w:styleId="5">
    <w:name w:val="footer"/>
    <w:basedOn w:val="1"/>
    <w:link w:val="15"/>
    <w:uiPriority w:val="0"/>
    <w:pPr>
      <w:tabs>
        <w:tab w:val="center" w:pos="4153"/>
        <w:tab w:val="right" w:pos="8306"/>
      </w:tabs>
      <w:snapToGrid w:val="0"/>
      <w:jc w:val="left"/>
    </w:pPr>
    <w:rPr>
      <w:rFonts w:ascii="仿宋_GB2312" w:hAnsi="Times New Roman"/>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rFonts w:ascii="仿宋_GB2312" w:hAnsi="Times New Roman"/>
      <w:sz w:val="18"/>
      <w:szCs w:val="18"/>
    </w:rPr>
  </w:style>
  <w:style w:type="paragraph" w:styleId="7">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Strong"/>
    <w:qFormat/>
    <w:uiPriority w:val="0"/>
    <w:rPr>
      <w:rFonts w:cs="Times New Roman"/>
      <w:b/>
      <w:bCs/>
    </w:rPr>
  </w:style>
  <w:style w:type="character" w:styleId="10">
    <w:name w:val="page number"/>
    <w:basedOn w:val="8"/>
    <w:qFormat/>
    <w:uiPriority w:val="0"/>
  </w:style>
  <w:style w:type="character" w:styleId="11">
    <w:name w:val="FollowedHyperlink"/>
    <w:uiPriority w:val="0"/>
    <w:rPr>
      <w:rFonts w:cs="Times New Roman"/>
      <w:color w:val="auto"/>
      <w:u w:val="none"/>
    </w:rPr>
  </w:style>
  <w:style w:type="character" w:styleId="12">
    <w:name w:val="Emphasis"/>
    <w:qFormat/>
    <w:uiPriority w:val="0"/>
    <w:rPr>
      <w:rFonts w:cs="Times New Roman"/>
    </w:rPr>
  </w:style>
  <w:style w:type="character" w:styleId="13">
    <w:name w:val="Hyperlink"/>
    <w:uiPriority w:val="0"/>
    <w:rPr>
      <w:rFonts w:cs="Times New Roman"/>
      <w:color w:val="0000FF"/>
      <w:u w:val="single"/>
    </w:rPr>
  </w:style>
  <w:style w:type="character" w:customStyle="1" w:styleId="15">
    <w:name w:val="页脚 Char"/>
    <w:link w:val="5"/>
    <w:qFormat/>
    <w:uiPriority w:val="0"/>
    <w:rPr>
      <w:rFonts w:ascii="仿宋_GB2312" w:eastAsia="仿宋_GB2312"/>
      <w:kern w:val="2"/>
      <w:sz w:val="18"/>
      <w:szCs w:val="18"/>
      <w:lang w:val="en-US" w:eastAsia="zh-CN" w:bidi="ar-SA"/>
    </w:rPr>
  </w:style>
  <w:style w:type="character" w:customStyle="1" w:styleId="16">
    <w:name w:val="fontstyle01"/>
    <w:uiPriority w:val="0"/>
    <w:rPr>
      <w:rFonts w:ascii="Droid Sans Fallback" w:hAnsi="Droid Sans Fallback" w:eastAsia="仿宋_GB2312" w:cs="Times New Roman"/>
      <w:i/>
      <w:iCs/>
      <w:color w:val="000000"/>
      <w:sz w:val="30"/>
      <w:szCs w:val="30"/>
    </w:rPr>
  </w:style>
  <w:style w:type="character" w:customStyle="1" w:styleId="17">
    <w:name w:val="标题 2 Char"/>
    <w:link w:val="2"/>
    <w:uiPriority w:val="0"/>
    <w:rPr>
      <w:rFonts w:ascii="Arial" w:hAnsi="Arial" w:eastAsia="黑体"/>
      <w:b/>
      <w:bCs/>
      <w:kern w:val="2"/>
      <w:sz w:val="32"/>
      <w:szCs w:val="32"/>
      <w:lang w:bidi="ar-SA"/>
    </w:rPr>
  </w:style>
  <w:style w:type="character" w:customStyle="1" w:styleId="18">
    <w:name w:val="apple-converted-space"/>
    <w:uiPriority w:val="0"/>
    <w:rPr>
      <w:rFonts w:cs="Times New Roman"/>
    </w:rPr>
  </w:style>
  <w:style w:type="character" w:customStyle="1" w:styleId="19">
    <w:name w:val="批注框文本 Char"/>
    <w:link w:val="4"/>
    <w:locked/>
    <w:uiPriority w:val="0"/>
    <w:rPr>
      <w:rFonts w:ascii="宋体" w:hAnsi="宋体"/>
      <w:kern w:val="2"/>
      <w:sz w:val="18"/>
      <w:szCs w:val="18"/>
      <w:lang w:bidi="ar-SA"/>
    </w:rPr>
  </w:style>
  <w:style w:type="character" w:customStyle="1" w:styleId="20">
    <w:name w:val="页眉 Char"/>
    <w:link w:val="6"/>
    <w:locked/>
    <w:uiPriority w:val="0"/>
    <w:rPr>
      <w:rFonts w:ascii="仿宋_GB2312" w:eastAsia="仿宋_GB2312"/>
      <w:kern w:val="2"/>
      <w:sz w:val="18"/>
      <w:szCs w:val="18"/>
      <w:lang w:val="en-US" w:eastAsia="zh-CN" w:bidi="ar-SA"/>
    </w:rPr>
  </w:style>
  <w:style w:type="character" w:customStyle="1" w:styleId="21">
    <w:name w:val="文档结构图 Char"/>
    <w:link w:val="3"/>
    <w:locked/>
    <w:uiPriority w:val="0"/>
    <w:rPr>
      <w:sz w:val="2"/>
      <w:shd w:val="clear" w:color="auto" w:fill="000080"/>
      <w:lang w:bidi="ar-SA"/>
    </w:rPr>
  </w:style>
  <w:style w:type="character" w:customStyle="1" w:styleId="22">
    <w:name w:val="文档结构图 Char1"/>
    <w:uiPriority w:val="0"/>
    <w:rPr>
      <w:rFonts w:ascii="宋体" w:hAnsi="Calibri"/>
      <w:kern w:val="2"/>
      <w:sz w:val="18"/>
      <w:szCs w:val="18"/>
    </w:rPr>
  </w:style>
  <w:style w:type="character" w:customStyle="1" w:styleId="23">
    <w:name w:val="批注框文本 Char1"/>
    <w:uiPriority w:val="0"/>
    <w:rPr>
      <w:rFonts w:ascii="Calibri" w:hAnsi="Calibri" w:eastAsia="仿宋_GB2312"/>
      <w:kern w:val="2"/>
      <w:sz w:val="18"/>
      <w:szCs w:val="18"/>
    </w:rPr>
  </w:style>
  <w:style w:type="paragraph" w:customStyle="1" w:styleId="24">
    <w:name w:val="Char"/>
    <w:basedOn w:val="1"/>
    <w:uiPriority w:val="0"/>
    <w:rPr>
      <w:rFonts w:ascii="Times New Roman" w:hAnsi="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GIF"/><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Pages>
  <Words>1667</Words>
  <Characters>9504</Characters>
  <Lines>79</Lines>
  <Paragraphs>22</Paragraphs>
  <TotalTime>16</TotalTime>
  <ScaleCrop>false</ScaleCrop>
  <LinksUpToDate>false</LinksUpToDate>
  <CharactersWithSpaces>11149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2018-06-19T07:41:00Z</dcterms:created>
  <dc:creator>文印员</dc:creator>
  <cp:lastModifiedBy>CuiYuan</cp:lastModifiedBy>
  <cp:lastPrinted>2018-06-14T09:05:00Z</cp:lastPrinted>
  <dcterms:modified xsi:type="dcterms:W3CDTF">2018-06-19T08:00:53Z</dcterms:modified>
  <dc:title>教高〔2018〕467号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